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CB" w:rsidRDefault="004675CB" w:rsidP="004675CB">
      <w:pPr>
        <w:jc w:val="center"/>
      </w:pPr>
    </w:p>
    <w:p w:rsidR="004675CB" w:rsidRPr="00637527" w:rsidRDefault="00830528" w:rsidP="00467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LEI N</w:t>
      </w:r>
      <w:proofErr w:type="gramStart"/>
      <w:r>
        <w:rPr>
          <w:rFonts w:ascii="Arial" w:hAnsi="Arial" w:cs="Arial"/>
          <w:sz w:val="24"/>
          <w:szCs w:val="24"/>
        </w:rPr>
        <w:t>° ,</w:t>
      </w:r>
      <w:proofErr w:type="gramEnd"/>
      <w:r>
        <w:rPr>
          <w:rFonts w:ascii="Arial" w:hAnsi="Arial" w:cs="Arial"/>
          <w:sz w:val="24"/>
          <w:szCs w:val="24"/>
        </w:rPr>
        <w:t xml:space="preserve"> 21 DE SETEMBRO DE 2021.</w:t>
      </w:r>
    </w:p>
    <w:p w:rsidR="004675CB" w:rsidRDefault="004675CB"/>
    <w:p w:rsidR="004675CB" w:rsidRDefault="004675CB" w:rsidP="0006254C">
      <w:pPr>
        <w:ind w:left="2832"/>
        <w:jc w:val="both"/>
        <w:rPr>
          <w:rStyle w:val="nfase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nfase"/>
          <w:rFonts w:ascii="Helvetica" w:hAnsi="Helvetica" w:cs="Helvetica"/>
          <w:color w:val="333333"/>
          <w:sz w:val="21"/>
          <w:szCs w:val="21"/>
          <w:shd w:val="clear" w:color="auto" w:fill="FFFFFF"/>
        </w:rPr>
        <w:t>Altera a Lei Nº 3.228 de 21 de junho de 2017 que Isenta de custas e emolumentos, junto às serventias extrajudiciais do Tocantins, o primeiro registro de título de legitimação de posse e de título de propriedade de imóvel, outorgados na forma que especifica.</w:t>
      </w:r>
    </w:p>
    <w:p w:rsidR="004675CB" w:rsidRPr="0006254C" w:rsidRDefault="004675CB" w:rsidP="004675CB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</w:rPr>
      </w:pPr>
      <w:r w:rsidRPr="0006254C">
        <w:rPr>
          <w:rFonts w:ascii="Arial" w:hAnsi="Arial" w:cs="Arial"/>
          <w:color w:val="333333"/>
        </w:rPr>
        <w:t>Art. 1º É isento de custas e emolumentos, junto às serventias extrajudiciais do Tocantins, o primeiro registro de título de legitimação de posse e de título de propriedade de imóvel, outorgados, de forma gratuita, a beneficiários e entidades sem fins lucrativos que os substituam, de programa habitacional ou de regularização fundiária de interesse social.</w:t>
      </w:r>
    </w:p>
    <w:p w:rsidR="004675CB" w:rsidRPr="0006254C" w:rsidRDefault="004675CB" w:rsidP="004675CB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</w:rPr>
      </w:pPr>
      <w:r w:rsidRPr="0006254C">
        <w:rPr>
          <w:rFonts w:ascii="Arial" w:hAnsi="Arial" w:cs="Arial"/>
          <w:color w:val="333333"/>
        </w:rPr>
        <w:t>Art. 2º Esta Lei entra em vigor na data de sua publicação.</w:t>
      </w:r>
    </w:p>
    <w:p w:rsidR="004675CB" w:rsidRPr="0006254C" w:rsidRDefault="004675CB" w:rsidP="004675CB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</w:rPr>
      </w:pPr>
    </w:p>
    <w:p w:rsidR="004675CB" w:rsidRPr="0006254C" w:rsidRDefault="004675CB" w:rsidP="004675CB">
      <w:pPr>
        <w:ind w:left="2832"/>
        <w:jc w:val="both"/>
        <w:rPr>
          <w:rStyle w:val="nfase"/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</w:pPr>
      <w:r w:rsidRPr="0006254C">
        <w:rPr>
          <w:rStyle w:val="nfase"/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JUSTIFICATIVA</w:t>
      </w:r>
    </w:p>
    <w:p w:rsidR="004675CB" w:rsidRPr="0006254C" w:rsidRDefault="004675CB" w:rsidP="004675CB">
      <w:pPr>
        <w:jc w:val="both"/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</w:pPr>
      <w:r w:rsidRPr="0006254C">
        <w:rPr>
          <w:rStyle w:val="nfase"/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ab/>
      </w:r>
      <w:r w:rsidR="00F25F8C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Considerando que as entidades sem fins lucrativos substituem os beneficiários </w:t>
      </w:r>
      <w:r w:rsidR="003E3550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finais em</w:t>
      </w:r>
      <w:r w:rsidR="00F25F8C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 empreendimentos habitacionais de interesse social, bem como, em processos de regularização fundiária, com </w:t>
      </w:r>
      <w:r w:rsidR="003E3550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a organização destes e </w:t>
      </w:r>
      <w:r w:rsidR="00F25F8C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acesso aos programas e recursos financeiros.</w:t>
      </w:r>
    </w:p>
    <w:p w:rsidR="00F25F8C" w:rsidRPr="0006254C" w:rsidRDefault="00F25F8C" w:rsidP="006A43EA">
      <w:pPr>
        <w:ind w:firstLine="708"/>
        <w:jc w:val="both"/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</w:pPr>
      <w:r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As entidades sem fins lucrativos que promovem habitação de interesse social</w:t>
      </w:r>
      <w:r w:rsidR="003E3550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 e regularização fundiária</w:t>
      </w:r>
      <w:r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 em sua grande maioria não detém de recursos próprios para pagar as custas e emolumentos, junto às serventias extrajudiciais do Estado, o que acaba por inviabilizar o acesso de famílias carentes as moradias, pois, os programas de habitação de interesse social só atendem entidades que tenha</w:t>
      </w:r>
      <w:r w:rsidR="003E3550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m</w:t>
      </w:r>
      <w:r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 a propriedade do imóvel, sem poder arcar com essas custas, os empreendimentos acabam por não se concretizar.</w:t>
      </w:r>
    </w:p>
    <w:p w:rsidR="00F25F8C" w:rsidRPr="0006254C" w:rsidRDefault="00F25F8C" w:rsidP="006A43EA">
      <w:pPr>
        <w:ind w:firstLine="708"/>
        <w:jc w:val="both"/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</w:pPr>
      <w:r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Em muitos casos os imóveis são doados pelo poder público sem qualquer ônus a entidade recebedora, todavia, fica ela com a incumbência de realizar os devidos registros cartorários para efetivar a transmissão da propriedade</w:t>
      </w:r>
      <w:r w:rsidR="003E3550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 para terem acesso aos referidos programas</w:t>
      </w:r>
      <w:r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.</w:t>
      </w:r>
    </w:p>
    <w:p w:rsidR="00F25F8C" w:rsidRPr="0006254C" w:rsidRDefault="00F25F8C" w:rsidP="006A43EA">
      <w:pPr>
        <w:ind w:firstLine="708"/>
        <w:jc w:val="both"/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</w:pPr>
      <w:r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Portanto a alteração da Lei 3.228 de 21 de Junho de 20</w:t>
      </w:r>
      <w:r w:rsidR="006A43EA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17, para incluir </w:t>
      </w:r>
      <w:r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a isenção de custas e emolumentos cartoriais às entidades sem fins lucrativos que substituem beneficiários em programas habitacionais ou de regularização fundiária de interesse social</w:t>
      </w:r>
      <w:r w:rsidR="006A43EA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 xml:space="preserve">, se faz necessário para garantir acesso dos beneficiários finais dos referidos programas, quando as entidades sem fins </w:t>
      </w:r>
      <w:r w:rsidR="006A43EA" w:rsidRPr="0006254C">
        <w:rPr>
          <w:rStyle w:val="nfase"/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lastRenderedPageBreak/>
        <w:t>lucrativos são beneficiárias em substituição temporária dos beneficiários de imóveis outorgados de forma gratuita.</w:t>
      </w:r>
    </w:p>
    <w:p w:rsidR="004675CB" w:rsidRPr="0006254C" w:rsidRDefault="004675CB">
      <w:pPr>
        <w:rPr>
          <w:rStyle w:val="nfas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6254C" w:rsidRPr="0006254C" w:rsidRDefault="005B54CB" w:rsidP="000625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</w:t>
      </w:r>
      <w:r w:rsidR="0006254C" w:rsidRPr="0006254C">
        <w:rPr>
          <w:rFonts w:ascii="Arial" w:hAnsi="Arial" w:cs="Arial"/>
          <w:sz w:val="24"/>
          <w:szCs w:val="24"/>
        </w:rPr>
        <w:t xml:space="preserve">nte </w:t>
      </w:r>
      <w:r>
        <w:rPr>
          <w:rFonts w:ascii="Arial" w:hAnsi="Arial" w:cs="Arial"/>
          <w:sz w:val="24"/>
          <w:szCs w:val="24"/>
        </w:rPr>
        <w:t>d</w:t>
      </w:r>
      <w:r w:rsidR="0006254C" w:rsidRPr="0006254C">
        <w:rPr>
          <w:rFonts w:ascii="Arial" w:hAnsi="Arial" w:cs="Arial"/>
          <w:sz w:val="24"/>
          <w:szCs w:val="24"/>
        </w:rPr>
        <w:t>o exposto, solicitamos apoio dos nobres Pares na aprovação do Projeto de Lei.</w:t>
      </w:r>
    </w:p>
    <w:p w:rsidR="0006254C" w:rsidRPr="0006254C" w:rsidRDefault="0006254C" w:rsidP="0006254C">
      <w:pPr>
        <w:jc w:val="center"/>
        <w:rPr>
          <w:rFonts w:ascii="Arial" w:hAnsi="Arial" w:cs="Arial"/>
          <w:sz w:val="24"/>
          <w:szCs w:val="24"/>
        </w:rPr>
      </w:pPr>
    </w:p>
    <w:p w:rsidR="0006254C" w:rsidRPr="0006254C" w:rsidRDefault="008042CE" w:rsidP="005B54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</w:t>
      </w:r>
      <w:r w:rsidR="005B54CB">
        <w:rPr>
          <w:rFonts w:ascii="Arial" w:hAnsi="Arial" w:cs="Arial"/>
          <w:sz w:val="24"/>
          <w:szCs w:val="24"/>
        </w:rPr>
        <w:t>a das Sessões, em 21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06254C" w:rsidRDefault="0006254C" w:rsidP="0006254C">
      <w:pPr>
        <w:jc w:val="center"/>
        <w:rPr>
          <w:rFonts w:ascii="Arial" w:hAnsi="Arial" w:cs="Arial"/>
          <w:sz w:val="24"/>
          <w:szCs w:val="24"/>
        </w:rPr>
      </w:pPr>
    </w:p>
    <w:p w:rsidR="005B54CB" w:rsidRDefault="005B54CB" w:rsidP="0006254C">
      <w:pPr>
        <w:jc w:val="center"/>
        <w:rPr>
          <w:rFonts w:ascii="Arial" w:hAnsi="Arial" w:cs="Arial"/>
          <w:sz w:val="24"/>
          <w:szCs w:val="24"/>
        </w:rPr>
      </w:pPr>
    </w:p>
    <w:p w:rsidR="005B54CB" w:rsidRPr="0006254C" w:rsidRDefault="005B54CB" w:rsidP="0006254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254C" w:rsidRPr="0006254C" w:rsidRDefault="0006254C" w:rsidP="0006254C">
      <w:pPr>
        <w:jc w:val="center"/>
        <w:rPr>
          <w:rFonts w:ascii="Arial" w:hAnsi="Arial" w:cs="Arial"/>
          <w:sz w:val="24"/>
          <w:szCs w:val="24"/>
        </w:rPr>
      </w:pPr>
    </w:p>
    <w:p w:rsidR="0006254C" w:rsidRPr="0006254C" w:rsidRDefault="0006254C" w:rsidP="0006254C">
      <w:pPr>
        <w:jc w:val="center"/>
        <w:rPr>
          <w:rFonts w:ascii="Arial" w:hAnsi="Arial" w:cs="Arial"/>
          <w:sz w:val="24"/>
          <w:szCs w:val="24"/>
        </w:rPr>
      </w:pPr>
      <w:r w:rsidRPr="0006254C">
        <w:rPr>
          <w:rFonts w:ascii="Arial" w:hAnsi="Arial" w:cs="Arial"/>
          <w:sz w:val="24"/>
          <w:szCs w:val="24"/>
        </w:rPr>
        <w:t>ZÉ ROBERTO LULA</w:t>
      </w:r>
    </w:p>
    <w:p w:rsidR="0006254C" w:rsidRPr="0006254C" w:rsidRDefault="0006254C" w:rsidP="0006254C">
      <w:pPr>
        <w:jc w:val="center"/>
        <w:rPr>
          <w:rFonts w:ascii="Arial" w:hAnsi="Arial" w:cs="Arial"/>
          <w:sz w:val="24"/>
          <w:szCs w:val="24"/>
        </w:rPr>
      </w:pPr>
      <w:r w:rsidRPr="0006254C">
        <w:rPr>
          <w:rFonts w:ascii="Arial" w:hAnsi="Arial" w:cs="Arial"/>
          <w:sz w:val="24"/>
          <w:szCs w:val="24"/>
        </w:rPr>
        <w:t>DEPUTADO ESTADUAL</w:t>
      </w:r>
    </w:p>
    <w:p w:rsidR="0006254C" w:rsidRDefault="0006254C" w:rsidP="0006254C">
      <w:pPr>
        <w:jc w:val="center"/>
        <w:rPr>
          <w:rFonts w:ascii="Arial" w:hAnsi="Arial" w:cs="Arial"/>
        </w:rPr>
      </w:pPr>
    </w:p>
    <w:p w:rsidR="004675CB" w:rsidRDefault="004675CB"/>
    <w:sectPr w:rsidR="004675CB" w:rsidSect="006A43EA">
      <w:headerReference w:type="default" r:id="rId6"/>
      <w:pgSz w:w="11906" w:h="16838"/>
      <w:pgMar w:top="18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7A" w:rsidRDefault="00D94E7A" w:rsidP="006A43EA">
      <w:pPr>
        <w:spacing w:after="0" w:line="240" w:lineRule="auto"/>
      </w:pPr>
      <w:r>
        <w:separator/>
      </w:r>
    </w:p>
  </w:endnote>
  <w:endnote w:type="continuationSeparator" w:id="0">
    <w:p w:rsidR="00D94E7A" w:rsidRDefault="00D94E7A" w:rsidP="006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7A" w:rsidRDefault="00D94E7A" w:rsidP="006A43EA">
      <w:pPr>
        <w:spacing w:after="0" w:line="240" w:lineRule="auto"/>
      </w:pPr>
      <w:r>
        <w:separator/>
      </w:r>
    </w:p>
  </w:footnote>
  <w:footnote w:type="continuationSeparator" w:id="0">
    <w:p w:rsidR="00D94E7A" w:rsidRDefault="00D94E7A" w:rsidP="006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EA" w:rsidRDefault="006A43EA">
    <w:pPr>
      <w:pStyle w:val="Cabealho"/>
    </w:pPr>
    <w:r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C1A7C08" wp14:editId="2F152329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866775" cy="1041400"/>
          <wp:effectExtent l="0" t="0" r="9525" b="6350"/>
          <wp:wrapSquare wrapText="bothSides"/>
          <wp:docPr id="8" name="Imagem 8" descr="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lid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A43EA" w:rsidRDefault="006A43EA">
    <w:pPr>
      <w:pStyle w:val="Cabealho"/>
    </w:pPr>
  </w:p>
  <w:p w:rsidR="006A43EA" w:rsidRDefault="006A43EA">
    <w:pPr>
      <w:pStyle w:val="Cabealho"/>
    </w:pPr>
  </w:p>
  <w:p w:rsidR="006A43EA" w:rsidRDefault="006A43EA">
    <w:pPr>
      <w:pStyle w:val="Cabealho"/>
    </w:pPr>
  </w:p>
  <w:p w:rsidR="006A43EA" w:rsidRDefault="006A43EA">
    <w:pPr>
      <w:pStyle w:val="Cabealho"/>
    </w:pPr>
  </w:p>
  <w:p w:rsidR="006A43EA" w:rsidRPr="006A43EA" w:rsidRDefault="006A43EA" w:rsidP="006A43EA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6A43EA">
      <w:rPr>
        <w:rFonts w:ascii="Arial" w:hAnsi="Arial" w:cs="Arial"/>
        <w:sz w:val="20"/>
        <w:szCs w:val="20"/>
      </w:rPr>
      <w:t>ESTADO DO TOCANTINS</w:t>
    </w:r>
  </w:p>
  <w:p w:rsidR="006A43EA" w:rsidRPr="006A43EA" w:rsidRDefault="006A43EA" w:rsidP="006A43EA">
    <w:pPr>
      <w:spacing w:after="0" w:line="240" w:lineRule="auto"/>
      <w:ind w:left="-426" w:right="-425"/>
      <w:jc w:val="center"/>
      <w:rPr>
        <w:rFonts w:ascii="Arial" w:hAnsi="Arial" w:cs="Arial"/>
        <w:sz w:val="20"/>
        <w:szCs w:val="20"/>
      </w:rPr>
    </w:pPr>
    <w:r w:rsidRPr="006A43EA">
      <w:rPr>
        <w:rFonts w:ascii="Arial" w:hAnsi="Arial" w:cs="Arial"/>
        <w:sz w:val="20"/>
        <w:szCs w:val="20"/>
      </w:rPr>
      <w:t>PODER LEGISLATIVO</w:t>
    </w:r>
  </w:p>
  <w:p w:rsidR="006A43EA" w:rsidRDefault="006A43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B"/>
    <w:rsid w:val="0006254C"/>
    <w:rsid w:val="003E3550"/>
    <w:rsid w:val="004675CB"/>
    <w:rsid w:val="005B54CB"/>
    <w:rsid w:val="006A43EA"/>
    <w:rsid w:val="008042CE"/>
    <w:rsid w:val="00830528"/>
    <w:rsid w:val="009F0D72"/>
    <w:rsid w:val="00D94E7A"/>
    <w:rsid w:val="00DC1312"/>
    <w:rsid w:val="00F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2DA4CA-8B95-4B32-8EAF-28E5266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675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6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4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3EA"/>
  </w:style>
  <w:style w:type="paragraph" w:styleId="Rodap">
    <w:name w:val="footer"/>
    <w:basedOn w:val="Normal"/>
    <w:link w:val="RodapChar"/>
    <w:uiPriority w:val="99"/>
    <w:unhideWhenUsed/>
    <w:rsid w:val="006A4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3EA"/>
  </w:style>
  <w:style w:type="paragraph" w:styleId="Textodebalo">
    <w:name w:val="Balloon Text"/>
    <w:basedOn w:val="Normal"/>
    <w:link w:val="TextodebaloChar"/>
    <w:uiPriority w:val="99"/>
    <w:semiHidden/>
    <w:unhideWhenUsed/>
    <w:rsid w:val="003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5</cp:revision>
  <cp:lastPrinted>2021-09-21T14:58:00Z</cp:lastPrinted>
  <dcterms:created xsi:type="dcterms:W3CDTF">2021-09-21T15:23:00Z</dcterms:created>
  <dcterms:modified xsi:type="dcterms:W3CDTF">2021-09-21T16:27:00Z</dcterms:modified>
</cp:coreProperties>
</file>