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Prefeito Municipal </w:t>
      </w:r>
      <w:r w:rsidR="0090702D" w:rsidRPr="0090702D">
        <w:rPr>
          <w:rFonts w:ascii="Arial" w:eastAsia="Arial" w:hAnsi="Arial" w:cs="Arial"/>
          <w:i/>
          <w:sz w:val="28"/>
          <w:szCs w:val="28"/>
        </w:rPr>
        <w:t>David Sousa Bento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90702D" w:rsidRPr="0090702D">
        <w:rPr>
          <w:rFonts w:ascii="Arial" w:eastAsia="Arial" w:hAnsi="Arial" w:cs="Arial"/>
          <w:i/>
          <w:sz w:val="28"/>
          <w:szCs w:val="28"/>
        </w:rPr>
        <w:t>Filadélfia</w:t>
      </w:r>
      <w:r w:rsidR="0090702D">
        <w:rPr>
          <w:rFonts w:ascii="Arial" w:eastAsia="Arial" w:hAnsi="Arial" w:cs="Arial"/>
          <w:i/>
          <w:sz w:val="28"/>
          <w:szCs w:val="28"/>
        </w:rPr>
        <w:t>/TO</w:t>
      </w:r>
      <w:r w:rsidR="006261A8">
        <w:rPr>
          <w:rFonts w:ascii="Arial" w:eastAsia="Arial" w:hAnsi="Arial" w:cs="Arial"/>
          <w:i/>
          <w:sz w:val="28"/>
          <w:szCs w:val="28"/>
        </w:rPr>
        <w:t>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r w:rsidR="0090702D" w:rsidRPr="0090702D">
        <w:rPr>
          <w:rFonts w:ascii="Arial" w:eastAsia="Arial" w:hAnsi="Arial" w:cs="Arial"/>
          <w:sz w:val="28"/>
          <w:szCs w:val="28"/>
        </w:rPr>
        <w:t>David Sousa Bento, Voto de Aplauso, pela passagem de aniversário do município de Filadélfia/TO.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  <w:r w:rsidRPr="0090702D">
        <w:rPr>
          <w:rFonts w:ascii="Arial" w:hAnsi="Arial" w:cs="Arial"/>
          <w:sz w:val="28"/>
          <w:szCs w:val="28"/>
        </w:rPr>
        <w:t xml:space="preserve">Cidade fronteiriça com Carolina (MA), separada pelo rio Tocantins, Filadélfia fazia parte da rota fluvial que ligava as cidades do sul de Goiás com a região Norte do país. Neste sentido, uma passagem marcante em sua história foi </w:t>
      </w:r>
      <w:proofErr w:type="gramStart"/>
      <w:r w:rsidRPr="0090702D">
        <w:rPr>
          <w:rFonts w:ascii="Arial" w:hAnsi="Arial" w:cs="Arial"/>
          <w:sz w:val="28"/>
          <w:szCs w:val="28"/>
        </w:rPr>
        <w:t>a</w:t>
      </w:r>
      <w:proofErr w:type="gramEnd"/>
      <w:r w:rsidRPr="0090702D">
        <w:rPr>
          <w:rFonts w:ascii="Arial" w:hAnsi="Arial" w:cs="Arial"/>
          <w:sz w:val="28"/>
          <w:szCs w:val="28"/>
        </w:rPr>
        <w:t xml:space="preserve"> instalação de um Posto Fiscal para arrecadação de impostos na região, conhecido por Porto das </w:t>
      </w:r>
      <w:proofErr w:type="spellStart"/>
      <w:r w:rsidRPr="0090702D">
        <w:rPr>
          <w:rFonts w:ascii="Arial" w:hAnsi="Arial" w:cs="Arial"/>
          <w:sz w:val="28"/>
          <w:szCs w:val="28"/>
        </w:rPr>
        <w:t>Paulas</w:t>
      </w:r>
      <w:proofErr w:type="spellEnd"/>
      <w:r w:rsidRPr="0090702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em 1919.</w:t>
      </w:r>
    </w:p>
    <w:p w:rsidR="00C02594" w:rsidRDefault="0090702D" w:rsidP="009B57EC">
      <w:pPr>
        <w:jc w:val="both"/>
        <w:rPr>
          <w:rFonts w:ascii="Arial" w:hAnsi="Arial" w:cs="Arial"/>
          <w:sz w:val="28"/>
          <w:szCs w:val="28"/>
        </w:rPr>
      </w:pPr>
      <w:r w:rsidRPr="0090702D">
        <w:rPr>
          <w:rFonts w:ascii="Arial" w:hAnsi="Arial" w:cs="Arial"/>
          <w:sz w:val="28"/>
          <w:szCs w:val="28"/>
        </w:rPr>
        <w:t xml:space="preserve">O nome da cidade homenageia o primeiro fazendeiro a se instalar no local, </w:t>
      </w:r>
      <w:proofErr w:type="spellStart"/>
      <w:r w:rsidRPr="0090702D">
        <w:rPr>
          <w:rFonts w:ascii="Arial" w:hAnsi="Arial" w:cs="Arial"/>
          <w:sz w:val="28"/>
          <w:szCs w:val="28"/>
        </w:rPr>
        <w:t>Filadélfio</w:t>
      </w:r>
      <w:proofErr w:type="spellEnd"/>
      <w:r w:rsidRPr="0090702D">
        <w:rPr>
          <w:rFonts w:ascii="Arial" w:hAnsi="Arial" w:cs="Arial"/>
          <w:sz w:val="28"/>
          <w:szCs w:val="28"/>
        </w:rPr>
        <w:t xml:space="preserve"> Antônio de Noronha. Elevado à categoria de município com a denominação de Filadélfia, </w:t>
      </w:r>
      <w:r w:rsidR="00E41542">
        <w:rPr>
          <w:rFonts w:ascii="Arial" w:hAnsi="Arial" w:cs="Arial"/>
          <w:sz w:val="28"/>
          <w:szCs w:val="28"/>
        </w:rPr>
        <w:t>pela lei estadual nº 154, de 08/10/</w:t>
      </w:r>
      <w:r w:rsidRPr="0090702D">
        <w:rPr>
          <w:rFonts w:ascii="Arial" w:hAnsi="Arial" w:cs="Arial"/>
          <w:sz w:val="28"/>
          <w:szCs w:val="28"/>
        </w:rPr>
        <w:t xml:space="preserve">1948, desmembrado do município de </w:t>
      </w:r>
      <w:proofErr w:type="spellStart"/>
      <w:r w:rsidRPr="0090702D">
        <w:rPr>
          <w:rFonts w:ascii="Arial" w:hAnsi="Arial" w:cs="Arial"/>
          <w:sz w:val="28"/>
          <w:szCs w:val="28"/>
        </w:rPr>
        <w:t>Tocantinópolis</w:t>
      </w:r>
      <w:proofErr w:type="spellEnd"/>
      <w:r w:rsidRPr="0090702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90702D">
        <w:rPr>
          <w:rFonts w:ascii="Arial" w:hAnsi="Arial" w:cs="Arial"/>
          <w:sz w:val="28"/>
          <w:szCs w:val="28"/>
        </w:rPr>
        <w:t>ex-Boa</w:t>
      </w:r>
      <w:proofErr w:type="spellEnd"/>
      <w:r w:rsidRPr="0090702D">
        <w:rPr>
          <w:rFonts w:ascii="Arial" w:hAnsi="Arial" w:cs="Arial"/>
          <w:sz w:val="28"/>
          <w:szCs w:val="28"/>
        </w:rPr>
        <w:t xml:space="preserve"> Vista). </w:t>
      </w:r>
    </w:p>
    <w:p w:rsidR="0090702D" w:rsidRP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  <w:r w:rsidRPr="0090702D">
        <w:rPr>
          <w:rFonts w:ascii="Arial" w:hAnsi="Arial" w:cs="Arial"/>
          <w:sz w:val="28"/>
          <w:szCs w:val="28"/>
        </w:rPr>
        <w:t>Filadélfia aumentou seu Produto Interno Bruto em 21,7% entre o ano de 2009 e 2010, o que ocasionou um deslocamento de onze posições na classificação estadual, passando a ocupar a 34ª posição no ranking do PIB no Estado.</w:t>
      </w:r>
    </w:p>
    <w:p w:rsid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</w:p>
    <w:p w:rsid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</w:p>
    <w:p w:rsidR="0090702D" w:rsidRP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  <w:r w:rsidRPr="0090702D">
        <w:rPr>
          <w:rFonts w:ascii="Arial" w:hAnsi="Arial" w:cs="Arial"/>
          <w:sz w:val="28"/>
          <w:szCs w:val="28"/>
        </w:rPr>
        <w:t>Em 2010, os serviços representaram 52,2% do valor adicionado total do município, sendo a administração pública a atividade com maior relevância, alcançando um percentual de 65%.</w:t>
      </w:r>
    </w:p>
    <w:p w:rsidR="0090702D" w:rsidRP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  <w:r w:rsidRPr="0090702D">
        <w:rPr>
          <w:rFonts w:ascii="Arial" w:hAnsi="Arial" w:cs="Arial"/>
          <w:sz w:val="28"/>
          <w:szCs w:val="28"/>
        </w:rPr>
        <w:t xml:space="preserve">A agropecuária correspondeu a 31,3% do valor adicionado, na qual a atividade com maior evidência foi </w:t>
      </w:r>
      <w:proofErr w:type="gramStart"/>
      <w:r w:rsidRPr="0090702D">
        <w:rPr>
          <w:rFonts w:ascii="Arial" w:hAnsi="Arial" w:cs="Arial"/>
          <w:sz w:val="28"/>
          <w:szCs w:val="28"/>
        </w:rPr>
        <w:t>a</w:t>
      </w:r>
      <w:proofErr w:type="gramEnd"/>
      <w:r w:rsidRPr="0090702D">
        <w:rPr>
          <w:rFonts w:ascii="Arial" w:hAnsi="Arial" w:cs="Arial"/>
          <w:sz w:val="28"/>
          <w:szCs w:val="28"/>
        </w:rPr>
        <w:t xml:space="preserve"> criação de bovinos e as produções de arroz, milho e mandioca.</w:t>
      </w:r>
    </w:p>
    <w:p w:rsidR="0090702D" w:rsidRPr="0090702D" w:rsidRDefault="0090702D" w:rsidP="009B57EC">
      <w:pPr>
        <w:jc w:val="both"/>
        <w:rPr>
          <w:rFonts w:ascii="Arial" w:hAnsi="Arial" w:cs="Arial"/>
          <w:sz w:val="28"/>
          <w:szCs w:val="28"/>
        </w:rPr>
      </w:pPr>
      <w:r w:rsidRPr="0090702D">
        <w:rPr>
          <w:rFonts w:ascii="Arial" w:hAnsi="Arial" w:cs="Arial"/>
          <w:sz w:val="28"/>
          <w:szCs w:val="28"/>
        </w:rPr>
        <w:t xml:space="preserve">A indústria constituiu um percentual de 16,6% do valor adicionado, na qual a indústria da construção civil e a indústria extrativa se </w:t>
      </w:r>
      <w:proofErr w:type="gramStart"/>
      <w:r w:rsidRPr="0090702D">
        <w:rPr>
          <w:rFonts w:ascii="Arial" w:hAnsi="Arial" w:cs="Arial"/>
          <w:sz w:val="28"/>
          <w:szCs w:val="28"/>
        </w:rPr>
        <w:t>destacaram,</w:t>
      </w:r>
      <w:proofErr w:type="gramEnd"/>
      <w:r w:rsidRPr="0090702D">
        <w:rPr>
          <w:rFonts w:ascii="Arial" w:hAnsi="Arial" w:cs="Arial"/>
          <w:sz w:val="28"/>
          <w:szCs w:val="28"/>
        </w:rPr>
        <w:t xml:space="preserve"> juntas representaram um percentual de 87% do setor. A ênfase da indústria extrativa foi </w:t>
      </w:r>
      <w:proofErr w:type="gramStart"/>
      <w:r w:rsidRPr="0090702D">
        <w:rPr>
          <w:rFonts w:ascii="Arial" w:hAnsi="Arial" w:cs="Arial"/>
          <w:sz w:val="28"/>
          <w:szCs w:val="28"/>
        </w:rPr>
        <w:t>a</w:t>
      </w:r>
      <w:proofErr w:type="gramEnd"/>
      <w:r w:rsidRPr="0090702D">
        <w:rPr>
          <w:rFonts w:ascii="Arial" w:hAnsi="Arial" w:cs="Arial"/>
          <w:sz w:val="28"/>
          <w:szCs w:val="28"/>
        </w:rPr>
        <w:t xml:space="preserve"> extração de minerais para fabricação de adubos, fertilizantes e outros produtos químicos no </w:t>
      </w:r>
      <w:r w:rsidR="00E41542" w:rsidRPr="0090702D">
        <w:rPr>
          <w:rFonts w:ascii="Arial" w:hAnsi="Arial" w:cs="Arial"/>
          <w:sz w:val="28"/>
          <w:szCs w:val="28"/>
        </w:rPr>
        <w:t>município</w:t>
      </w:r>
      <w:r w:rsidRPr="0090702D">
        <w:rPr>
          <w:rFonts w:ascii="Arial" w:hAnsi="Arial" w:cs="Arial"/>
          <w:sz w:val="28"/>
          <w:szCs w:val="28"/>
        </w:rPr>
        <w:t>.</w:t>
      </w:r>
    </w:p>
    <w:p w:rsidR="00E579D0" w:rsidRPr="009A79C3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E41542">
        <w:rPr>
          <w:rFonts w:ascii="Arial" w:eastAsia="Arial" w:hAnsi="Arial" w:cs="Arial"/>
          <w:sz w:val="28"/>
          <w:szCs w:val="28"/>
          <w:lang w:eastAsia="pt-BR"/>
        </w:rPr>
        <w:t>Filadélfia</w:t>
      </w:r>
      <w:r w:rsidRPr="009A79C3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>
        <w:rPr>
          <w:rFonts w:ascii="Arial" w:eastAsia="Arial" w:hAnsi="Arial" w:cs="Arial"/>
          <w:sz w:val="28"/>
          <w:szCs w:val="28"/>
        </w:rPr>
        <w:t xml:space="preserve"> </w:t>
      </w:r>
      <w:r w:rsidR="00E41542">
        <w:rPr>
          <w:rFonts w:ascii="Arial" w:eastAsia="Arial" w:hAnsi="Arial" w:cs="Arial"/>
          <w:sz w:val="28"/>
          <w:szCs w:val="28"/>
        </w:rPr>
        <w:t>73</w:t>
      </w:r>
      <w:r w:rsidR="006B4A3C">
        <w:rPr>
          <w:rFonts w:ascii="Arial" w:eastAsia="Arial" w:hAnsi="Arial" w:cs="Arial"/>
          <w:sz w:val="32"/>
          <w:szCs w:val="28"/>
        </w:rPr>
        <w:t>º</w:t>
      </w:r>
      <w:r w:rsidR="00D74164">
        <w:rPr>
          <w:rFonts w:ascii="Arial" w:eastAsia="Arial" w:hAnsi="Arial" w:cs="Arial"/>
          <w:sz w:val="28"/>
          <w:szCs w:val="28"/>
        </w:rPr>
        <w:t xml:space="preserve"> aniversário</w:t>
      </w:r>
      <w:r w:rsidR="00EA026E">
        <w:rPr>
          <w:rFonts w:ascii="Arial" w:eastAsia="Arial" w:hAnsi="Arial" w:cs="Arial"/>
          <w:sz w:val="28"/>
          <w:szCs w:val="28"/>
        </w:rPr>
        <w:t>, e</w:t>
      </w:r>
      <w:r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F22A78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E41542" w:rsidRPr="00E41542">
        <w:rPr>
          <w:rFonts w:ascii="Arial" w:eastAsia="Arial" w:hAnsi="Arial" w:cs="Arial"/>
          <w:sz w:val="28"/>
          <w:szCs w:val="28"/>
        </w:rPr>
        <w:t>Praça da Bandeira - Centro, Filadélfia - TO, 77795-000</w:t>
      </w:r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63558A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63558A">
        <w:rPr>
          <w:rFonts w:ascii="Arial" w:hAnsi="Arial" w:cs="Arial"/>
          <w:sz w:val="28"/>
          <w:szCs w:val="28"/>
        </w:rPr>
        <w:t>novembro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Pr="009A79C3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A8" w:rsidRDefault="00C659A8" w:rsidP="00202D6A">
      <w:pPr>
        <w:spacing w:after="0" w:line="240" w:lineRule="auto"/>
      </w:pPr>
      <w:r>
        <w:separator/>
      </w:r>
    </w:p>
  </w:endnote>
  <w:endnote w:type="continuationSeparator" w:id="0">
    <w:p w:rsidR="00C659A8" w:rsidRDefault="00C659A8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A8" w:rsidRDefault="00C659A8" w:rsidP="00202D6A">
      <w:pPr>
        <w:spacing w:after="0" w:line="240" w:lineRule="auto"/>
      </w:pPr>
      <w:r>
        <w:separator/>
      </w:r>
    </w:p>
  </w:footnote>
  <w:footnote w:type="continuationSeparator" w:id="0">
    <w:p w:rsidR="00C659A8" w:rsidRDefault="00C659A8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423B3"/>
    <w:rsid w:val="000714AC"/>
    <w:rsid w:val="000948D9"/>
    <w:rsid w:val="000D0327"/>
    <w:rsid w:val="00100408"/>
    <w:rsid w:val="001108F7"/>
    <w:rsid w:val="001453C8"/>
    <w:rsid w:val="001624D2"/>
    <w:rsid w:val="00180BC0"/>
    <w:rsid w:val="001D50B7"/>
    <w:rsid w:val="00202D6A"/>
    <w:rsid w:val="00207120"/>
    <w:rsid w:val="002571DB"/>
    <w:rsid w:val="002F6DE1"/>
    <w:rsid w:val="003436AA"/>
    <w:rsid w:val="003921B6"/>
    <w:rsid w:val="003D2B84"/>
    <w:rsid w:val="003D4A8C"/>
    <w:rsid w:val="003E32EF"/>
    <w:rsid w:val="00421FDB"/>
    <w:rsid w:val="00446496"/>
    <w:rsid w:val="00477A0D"/>
    <w:rsid w:val="004B305B"/>
    <w:rsid w:val="004F6619"/>
    <w:rsid w:val="00500142"/>
    <w:rsid w:val="00507C0E"/>
    <w:rsid w:val="00531F9F"/>
    <w:rsid w:val="00533294"/>
    <w:rsid w:val="00541A7E"/>
    <w:rsid w:val="00562452"/>
    <w:rsid w:val="00572B8E"/>
    <w:rsid w:val="005E1A62"/>
    <w:rsid w:val="005E21B5"/>
    <w:rsid w:val="005F7D47"/>
    <w:rsid w:val="006261A8"/>
    <w:rsid w:val="0063558A"/>
    <w:rsid w:val="00651782"/>
    <w:rsid w:val="00670C58"/>
    <w:rsid w:val="006A7B9E"/>
    <w:rsid w:val="006B4A3C"/>
    <w:rsid w:val="006C6583"/>
    <w:rsid w:val="006D5E10"/>
    <w:rsid w:val="006F2F7D"/>
    <w:rsid w:val="007C0F7C"/>
    <w:rsid w:val="007C79D4"/>
    <w:rsid w:val="007E4393"/>
    <w:rsid w:val="0082774C"/>
    <w:rsid w:val="00844A42"/>
    <w:rsid w:val="00886504"/>
    <w:rsid w:val="008913C9"/>
    <w:rsid w:val="008921D0"/>
    <w:rsid w:val="008A2CC3"/>
    <w:rsid w:val="008A6044"/>
    <w:rsid w:val="0090702D"/>
    <w:rsid w:val="009168EC"/>
    <w:rsid w:val="00922344"/>
    <w:rsid w:val="00985656"/>
    <w:rsid w:val="00994D72"/>
    <w:rsid w:val="009A79C3"/>
    <w:rsid w:val="009B57EC"/>
    <w:rsid w:val="009D36FA"/>
    <w:rsid w:val="009E4928"/>
    <w:rsid w:val="00A51DF4"/>
    <w:rsid w:val="00AB03E5"/>
    <w:rsid w:val="00B04EEA"/>
    <w:rsid w:val="00B24687"/>
    <w:rsid w:val="00B37D69"/>
    <w:rsid w:val="00B40C03"/>
    <w:rsid w:val="00B67147"/>
    <w:rsid w:val="00C02594"/>
    <w:rsid w:val="00C06BB8"/>
    <w:rsid w:val="00C11323"/>
    <w:rsid w:val="00C47837"/>
    <w:rsid w:val="00C47AE3"/>
    <w:rsid w:val="00C5275C"/>
    <w:rsid w:val="00C5595E"/>
    <w:rsid w:val="00C659A8"/>
    <w:rsid w:val="00CA3CEF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41542"/>
    <w:rsid w:val="00E54122"/>
    <w:rsid w:val="00E579D0"/>
    <w:rsid w:val="00E7337A"/>
    <w:rsid w:val="00E737DF"/>
    <w:rsid w:val="00EA026E"/>
    <w:rsid w:val="00EA2E84"/>
    <w:rsid w:val="00EC1B29"/>
    <w:rsid w:val="00EC47F7"/>
    <w:rsid w:val="00EF532C"/>
    <w:rsid w:val="00F22A78"/>
    <w:rsid w:val="00F457EC"/>
    <w:rsid w:val="00F52148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4FBE-E879-4AAE-9EBE-CB490B19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03331410160</cp:lastModifiedBy>
  <cp:revision>39</cp:revision>
  <cp:lastPrinted>2021-06-22T13:34:00Z</cp:lastPrinted>
  <dcterms:created xsi:type="dcterms:W3CDTF">2021-10-27T18:39:00Z</dcterms:created>
  <dcterms:modified xsi:type="dcterms:W3CDTF">2021-11-03T12:34:00Z</dcterms:modified>
</cp:coreProperties>
</file>