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9DAC8" w14:textId="77777777" w:rsidR="00084156" w:rsidRPr="00084156" w:rsidRDefault="00084156" w:rsidP="00084156">
      <w:pPr>
        <w:jc w:val="both"/>
        <w:rPr>
          <w:b/>
        </w:rPr>
      </w:pPr>
      <w:r w:rsidRPr="00084156">
        <w:rPr>
          <w:b/>
        </w:rPr>
        <w:t>PROJETO DE LEI Nº</w:t>
      </w:r>
    </w:p>
    <w:p w14:paraId="38CD9A6B" w14:textId="77777777" w:rsidR="00084156" w:rsidRPr="00084156" w:rsidRDefault="00084156" w:rsidP="00084156">
      <w:pPr>
        <w:pStyle w:val="Ementa"/>
        <w:ind w:left="5245"/>
        <w:rPr>
          <w:rFonts w:ascii="Times New Roman" w:hAnsi="Times New Roman"/>
          <w:sz w:val="24"/>
          <w:szCs w:val="24"/>
        </w:rPr>
      </w:pPr>
    </w:p>
    <w:p w14:paraId="3A485B0A" w14:textId="26DA98A5" w:rsidR="001F1FFB" w:rsidRPr="00084156" w:rsidRDefault="001F1FFB" w:rsidP="001F1FFB">
      <w:pPr>
        <w:pStyle w:val="Ementa"/>
        <w:ind w:left="5245"/>
        <w:rPr>
          <w:rFonts w:ascii="Times New Roman" w:hAnsi="Times New Roman"/>
          <w:sz w:val="24"/>
          <w:szCs w:val="24"/>
        </w:rPr>
      </w:pPr>
      <w:r w:rsidRPr="00084156">
        <w:rPr>
          <w:rFonts w:ascii="Times New Roman" w:hAnsi="Times New Roman"/>
          <w:sz w:val="24"/>
          <w:szCs w:val="24"/>
        </w:rPr>
        <w:t>Dispõe sobre a obrigatoriedade da implantação de consultório odontológico nos Colégios da Rede Estadual de Ensino no Estado do Tocantins e dá outras providências</w:t>
      </w:r>
      <w:r w:rsidR="00084156" w:rsidRPr="00084156">
        <w:rPr>
          <w:rFonts w:ascii="Times New Roman" w:hAnsi="Times New Roman"/>
          <w:sz w:val="24"/>
          <w:szCs w:val="24"/>
        </w:rPr>
        <w:t>.</w:t>
      </w:r>
    </w:p>
    <w:p w14:paraId="659882B0" w14:textId="77777777" w:rsidR="00084156" w:rsidRPr="00084156" w:rsidRDefault="00084156" w:rsidP="001F1FFB">
      <w:pPr>
        <w:pStyle w:val="Ementa"/>
        <w:ind w:left="5245"/>
        <w:rPr>
          <w:rFonts w:ascii="Times New Roman" w:hAnsi="Times New Roman"/>
          <w:sz w:val="24"/>
          <w:szCs w:val="24"/>
        </w:rPr>
      </w:pPr>
    </w:p>
    <w:p w14:paraId="5353B23D" w14:textId="77777777" w:rsidR="009A7A22" w:rsidRPr="00084156" w:rsidRDefault="009A7A22" w:rsidP="00D37111">
      <w:pPr>
        <w:ind w:left="4820"/>
        <w:jc w:val="both"/>
        <w:rPr>
          <w:color w:val="000000"/>
        </w:rPr>
      </w:pPr>
    </w:p>
    <w:p w14:paraId="35486EEB" w14:textId="77777777" w:rsidR="00084156" w:rsidRPr="00084156" w:rsidRDefault="00084156" w:rsidP="00084156">
      <w:pPr>
        <w:jc w:val="center"/>
        <w:rPr>
          <w:b/>
        </w:rPr>
      </w:pPr>
      <w:r w:rsidRPr="00084156">
        <w:rPr>
          <w:b/>
        </w:rPr>
        <w:t>A ASSEMBLEIA LEGISLATIVA DO ESTADO DO TOCANTINS decreta:</w:t>
      </w:r>
    </w:p>
    <w:p w14:paraId="77D11BD9" w14:textId="379B8DB7" w:rsidR="001F1FFB" w:rsidRPr="00084156" w:rsidRDefault="00084156" w:rsidP="00084156">
      <w:pPr>
        <w:jc w:val="both"/>
      </w:pPr>
      <w:r w:rsidRPr="00084156">
        <w:rPr>
          <w:color w:val="000000"/>
        </w:rPr>
        <w:br/>
      </w:r>
      <w:r w:rsidRPr="00084156">
        <w:rPr>
          <w:color w:val="000000"/>
        </w:rPr>
        <w:br/>
        <w:t xml:space="preserve">Art.1º </w:t>
      </w:r>
      <w:r w:rsidR="001F1FFB" w:rsidRPr="00084156">
        <w:t xml:space="preserve">Fica obrigado o Governo do </w:t>
      </w:r>
      <w:r w:rsidRPr="00084156">
        <w:t xml:space="preserve">Estado do Tocantins a implantar </w:t>
      </w:r>
      <w:r w:rsidR="001F1FFB" w:rsidRPr="00084156">
        <w:t>consultórios odontológicos nos Colégios da Rede Estadual de Ensino.</w:t>
      </w:r>
    </w:p>
    <w:p w14:paraId="1336DC29" w14:textId="13450A64" w:rsidR="001F1FFB" w:rsidRPr="00084156" w:rsidRDefault="00084156" w:rsidP="00D37111">
      <w:pPr>
        <w:jc w:val="both"/>
        <w:rPr>
          <w:color w:val="000000"/>
        </w:rPr>
      </w:pPr>
      <w:r w:rsidRPr="00084156">
        <w:rPr>
          <w:color w:val="000000"/>
        </w:rPr>
        <w:t xml:space="preserve">§ </w:t>
      </w:r>
      <w:r w:rsidR="009A7A22" w:rsidRPr="00084156">
        <w:rPr>
          <w:color w:val="000000"/>
        </w:rPr>
        <w:t xml:space="preserve">1º </w:t>
      </w:r>
      <w:r w:rsidR="001F1FFB" w:rsidRPr="00084156">
        <w:rPr>
          <w:color w:val="000000"/>
        </w:rPr>
        <w:t xml:space="preserve">Os consultórios devem atender às exigências e normativas do Ministério da </w:t>
      </w:r>
      <w:proofErr w:type="gramStart"/>
      <w:r w:rsidR="001F1FFB" w:rsidRPr="00084156">
        <w:rPr>
          <w:color w:val="000000"/>
        </w:rPr>
        <w:t>Saúde.</w:t>
      </w:r>
      <w:r>
        <w:rPr>
          <w:color w:val="000000"/>
        </w:rPr>
        <w:br/>
      </w:r>
      <w:r w:rsidRPr="00084156">
        <w:rPr>
          <w:color w:val="000000"/>
        </w:rPr>
        <w:t>§</w:t>
      </w:r>
      <w:proofErr w:type="gramEnd"/>
      <w:r w:rsidRPr="00084156">
        <w:rPr>
          <w:color w:val="000000"/>
        </w:rPr>
        <w:t xml:space="preserve"> </w:t>
      </w:r>
      <w:r w:rsidR="009A7A22" w:rsidRPr="00084156">
        <w:rPr>
          <w:color w:val="000000"/>
        </w:rPr>
        <w:t xml:space="preserve">2º </w:t>
      </w:r>
      <w:r w:rsidR="001F1FFB" w:rsidRPr="00084156">
        <w:rPr>
          <w:color w:val="000000"/>
        </w:rPr>
        <w:t xml:space="preserve">Os consultórios odontológicos devem contar com a presença de, no mínimo, 1 (um) cirurgião dentista e 1 (um) auxiliar. </w:t>
      </w:r>
      <w:r>
        <w:rPr>
          <w:color w:val="000000"/>
        </w:rPr>
        <w:br/>
      </w:r>
      <w:r w:rsidRPr="00084156">
        <w:rPr>
          <w:color w:val="000000"/>
        </w:rPr>
        <w:t>Art.</w:t>
      </w:r>
      <w:r w:rsidR="009A7A22" w:rsidRPr="00084156">
        <w:rPr>
          <w:color w:val="000000"/>
        </w:rPr>
        <w:t>2º O</w:t>
      </w:r>
      <w:r w:rsidR="001F1FFB" w:rsidRPr="00084156">
        <w:rPr>
          <w:color w:val="000000"/>
        </w:rPr>
        <w:t>s consultórios odontológicos deverão ser instalados nos Colégios com mais de 500 alunos matriculados.</w:t>
      </w:r>
    </w:p>
    <w:p w14:paraId="211EF8C3" w14:textId="00A68073" w:rsidR="001F1FFB" w:rsidRPr="00084156" w:rsidRDefault="00084156" w:rsidP="00D37111">
      <w:pPr>
        <w:jc w:val="both"/>
        <w:rPr>
          <w:color w:val="000000"/>
        </w:rPr>
      </w:pPr>
      <w:r w:rsidRPr="00084156">
        <w:rPr>
          <w:color w:val="000000"/>
        </w:rPr>
        <w:t xml:space="preserve">§ </w:t>
      </w:r>
      <w:r w:rsidR="001F1FFB" w:rsidRPr="00084156">
        <w:rPr>
          <w:color w:val="000000"/>
        </w:rPr>
        <w:t>1º Em caso de colégio que não possua 500 (quinhentos) estudantes ou mais, dever-se-á distribuir os alunos para atendimento nas unidades de ensino com maior estrutura para recebimento.</w:t>
      </w:r>
    </w:p>
    <w:p w14:paraId="1DA8CBB5" w14:textId="0E9A5FF9" w:rsidR="001F1FFB" w:rsidRPr="00084156" w:rsidRDefault="00084156" w:rsidP="001F1FFB">
      <w:pPr>
        <w:jc w:val="both"/>
        <w:rPr>
          <w:color w:val="000000"/>
        </w:rPr>
      </w:pPr>
      <w:r w:rsidRPr="00084156">
        <w:rPr>
          <w:color w:val="000000"/>
        </w:rPr>
        <w:t xml:space="preserve">§ </w:t>
      </w:r>
      <w:r w:rsidR="001F1FFB" w:rsidRPr="00084156">
        <w:rPr>
          <w:color w:val="000000"/>
        </w:rPr>
        <w:t>2º Nos municípios onde não haja colégio com mais de 500 (quinhentos) alunos matriculados, dever-se-á instalar o consultório na unidade de ensino com maior estrutura para recebimento.</w:t>
      </w:r>
    </w:p>
    <w:p w14:paraId="3BF5AD21" w14:textId="3C047D3B" w:rsidR="009A7A22" w:rsidRPr="00084156" w:rsidRDefault="00084156" w:rsidP="00D37111">
      <w:pPr>
        <w:jc w:val="both"/>
        <w:rPr>
          <w:color w:val="000000"/>
        </w:rPr>
      </w:pPr>
      <w:r w:rsidRPr="00084156">
        <w:rPr>
          <w:color w:val="000000"/>
        </w:rPr>
        <w:t>Art.</w:t>
      </w:r>
      <w:r w:rsidR="009A7A22" w:rsidRPr="00084156">
        <w:rPr>
          <w:color w:val="000000"/>
        </w:rPr>
        <w:t xml:space="preserve">3º </w:t>
      </w:r>
      <w:r w:rsidR="001F1FFB" w:rsidRPr="00084156">
        <w:rPr>
          <w:color w:val="000000"/>
        </w:rPr>
        <w:t>Caberá ao Governo do Estado do Tocantins a regulamentação desta Lei</w:t>
      </w:r>
      <w:r>
        <w:rPr>
          <w:color w:val="000000"/>
        </w:rPr>
        <w:t>.</w:t>
      </w:r>
      <w:r>
        <w:rPr>
          <w:color w:val="000000"/>
        </w:rPr>
        <w:br/>
      </w:r>
      <w:r w:rsidRPr="00084156">
        <w:rPr>
          <w:color w:val="000000"/>
        </w:rPr>
        <w:t>Art.</w:t>
      </w:r>
      <w:r w:rsidR="009A7A22" w:rsidRPr="00084156">
        <w:rPr>
          <w:color w:val="000000"/>
        </w:rPr>
        <w:t xml:space="preserve">4º Esta Lei entra em vigor </w:t>
      </w:r>
      <w:r w:rsidR="001F1FFB" w:rsidRPr="00084156">
        <w:rPr>
          <w:color w:val="000000"/>
        </w:rPr>
        <w:t>180 dias após a sua publicação.</w:t>
      </w:r>
    </w:p>
    <w:p w14:paraId="5AFF9444" w14:textId="77777777" w:rsidR="009A7A22" w:rsidRPr="00084156" w:rsidRDefault="009A7A22" w:rsidP="00D37111">
      <w:pPr>
        <w:jc w:val="both"/>
        <w:rPr>
          <w:color w:val="000000"/>
        </w:rPr>
      </w:pPr>
    </w:p>
    <w:p w14:paraId="70A0117D" w14:textId="77777777" w:rsidR="009A7A22" w:rsidRPr="00084156" w:rsidRDefault="009A7A22" w:rsidP="00D37111">
      <w:pPr>
        <w:jc w:val="both"/>
        <w:rPr>
          <w:color w:val="000000"/>
        </w:rPr>
      </w:pPr>
    </w:p>
    <w:p w14:paraId="47CBD6EE" w14:textId="77777777" w:rsidR="009A7A22" w:rsidRPr="00084156" w:rsidRDefault="009A7A22" w:rsidP="00D37111">
      <w:pPr>
        <w:jc w:val="both"/>
        <w:rPr>
          <w:color w:val="000000"/>
        </w:rPr>
      </w:pPr>
    </w:p>
    <w:p w14:paraId="72013F4D" w14:textId="2D1C5F1C" w:rsidR="009A7A22" w:rsidRPr="00084156" w:rsidRDefault="00084156" w:rsidP="00084156">
      <w:pPr>
        <w:jc w:val="center"/>
        <w:rPr>
          <w:b/>
          <w:color w:val="000000"/>
        </w:rPr>
      </w:pPr>
      <w:r w:rsidRPr="00084156">
        <w:rPr>
          <w:b/>
          <w:color w:val="000000"/>
        </w:rPr>
        <w:t>JUSTIFICATIVA</w:t>
      </w:r>
    </w:p>
    <w:p w14:paraId="7EB66BCA" w14:textId="77777777" w:rsidR="00084156" w:rsidRDefault="00084156" w:rsidP="00084156">
      <w:pPr>
        <w:ind w:firstLine="720"/>
        <w:jc w:val="both"/>
        <w:rPr>
          <w:color w:val="383838"/>
          <w:shd w:val="clear" w:color="auto" w:fill="FFFFFF"/>
        </w:rPr>
      </w:pPr>
    </w:p>
    <w:p w14:paraId="6FAD1BE9" w14:textId="77777777" w:rsidR="00084156" w:rsidRDefault="001F1FFB" w:rsidP="00084156">
      <w:pPr>
        <w:ind w:firstLine="720"/>
        <w:jc w:val="both"/>
        <w:rPr>
          <w:color w:val="383838"/>
          <w:shd w:val="clear" w:color="auto" w:fill="FFFFFF"/>
        </w:rPr>
      </w:pPr>
      <w:r w:rsidRPr="00084156">
        <w:rPr>
          <w:color w:val="383838"/>
          <w:shd w:val="clear" w:color="auto" w:fill="FFFFFF"/>
        </w:rPr>
        <w:t>A saúde bucal faz parte da saúde geral do indivíduo, de modo a promover pleno bem-estar físico, social e mental, de acordo com a Organização Mundial de Saúde (OMS).</w:t>
      </w:r>
    </w:p>
    <w:p w14:paraId="77A48CB1" w14:textId="77777777" w:rsidR="00084156" w:rsidRPr="00084156" w:rsidRDefault="00084156" w:rsidP="00084156">
      <w:pPr>
        <w:ind w:firstLine="720"/>
        <w:jc w:val="both"/>
        <w:rPr>
          <w:color w:val="383838"/>
          <w:shd w:val="clear" w:color="auto" w:fill="FFFFFF"/>
        </w:rPr>
      </w:pPr>
    </w:p>
    <w:p w14:paraId="50E5F037" w14:textId="5AAC5C84" w:rsidR="001F1FFB" w:rsidRDefault="001F1FFB" w:rsidP="00084156">
      <w:pPr>
        <w:ind w:firstLine="720"/>
        <w:jc w:val="both"/>
        <w:rPr>
          <w:color w:val="383838"/>
        </w:rPr>
      </w:pPr>
      <w:r w:rsidRPr="00084156">
        <w:rPr>
          <w:color w:val="383838"/>
          <w:shd w:val="clear" w:color="auto" w:fill="FFFFFF"/>
        </w:rPr>
        <w:t xml:space="preserve"> </w:t>
      </w:r>
      <w:r w:rsidRPr="00084156">
        <w:rPr>
          <w:color w:val="383838"/>
        </w:rPr>
        <w:t>A odontologia no ambiente escolar pode ser definida como prática de atividades que visam contribuir com a manutenção e restauração da qualidade de vida e bem-estar dos estudantes.</w:t>
      </w:r>
    </w:p>
    <w:p w14:paraId="473C8419" w14:textId="77777777" w:rsidR="00084156" w:rsidRPr="00084156" w:rsidRDefault="00084156" w:rsidP="00084156">
      <w:pPr>
        <w:ind w:firstLine="720"/>
        <w:jc w:val="both"/>
        <w:rPr>
          <w:color w:val="383838"/>
          <w:shd w:val="clear" w:color="auto" w:fill="FFFFFF"/>
        </w:rPr>
      </w:pPr>
    </w:p>
    <w:p w14:paraId="678D03FB" w14:textId="77777777" w:rsidR="00084156" w:rsidRDefault="001F1FFB" w:rsidP="00084156">
      <w:pPr>
        <w:pStyle w:val="NormalWeb"/>
        <w:spacing w:before="0" w:beforeAutospacing="0"/>
        <w:ind w:firstLine="720"/>
        <w:jc w:val="both"/>
        <w:rPr>
          <w:color w:val="000000"/>
        </w:rPr>
      </w:pPr>
      <w:r w:rsidRPr="00084156">
        <w:rPr>
          <w:color w:val="000000"/>
        </w:rPr>
        <w:lastRenderedPageBreak/>
        <w:t>A higiene bucal anda lado a lado com a saúde geral do nosso corpo. Isso porque, quando a criança/adolescente não tem um cuidado regular com a sua boca, a chance de desenvolver doenças como a gengivite é muito grande. Em casos mais graves da doença, a corrente sanguínea pode ser afetada e o problema transformado em endocardite, uma doença que afeta o coração.</w:t>
      </w:r>
    </w:p>
    <w:p w14:paraId="341A5856" w14:textId="77777777" w:rsidR="00084156" w:rsidRDefault="001F1FFB" w:rsidP="00084156">
      <w:pPr>
        <w:pStyle w:val="NormalWeb"/>
        <w:spacing w:before="0" w:beforeAutospacing="0"/>
        <w:ind w:firstLine="720"/>
        <w:jc w:val="both"/>
        <w:rPr>
          <w:color w:val="000000"/>
        </w:rPr>
      </w:pPr>
      <w:r w:rsidRPr="00084156">
        <w:rPr>
          <w:color w:val="000000"/>
        </w:rPr>
        <w:t>Por isso, ao tratar da saúde bucal, a criança/adolescente não tem somente o benefício de dentições bonitas, mas também a prevenção de cáries, mau hálito e muitas outras doenças.</w:t>
      </w:r>
    </w:p>
    <w:p w14:paraId="57F26424" w14:textId="77777777" w:rsidR="00084156" w:rsidRDefault="001F1FFB" w:rsidP="00084156">
      <w:pPr>
        <w:pStyle w:val="NormalWeb"/>
        <w:spacing w:before="0" w:beforeAutospacing="0"/>
        <w:ind w:firstLine="720"/>
        <w:jc w:val="both"/>
        <w:rPr>
          <w:color w:val="000000"/>
        </w:rPr>
      </w:pPr>
      <w:r w:rsidRPr="00084156">
        <w:rPr>
          <w:color w:val="000000"/>
        </w:rPr>
        <w:t>As crianças/adolescentes, muitas vezes, passam mais tempo dentro da escola do que dentro da própria casa e isso é fato! É comum que elas façam todas as refeições dentro das dependências da instituição ou ao menos 2 refeições com os colegas e professores. Por estarem em um período de descobertas e em fase de constante aprendizagem, é extremamente importante a presença do dentista no ambiente escolar.</w:t>
      </w:r>
    </w:p>
    <w:p w14:paraId="66BBEDD4" w14:textId="08F8AE1F" w:rsidR="001F1FFB" w:rsidRPr="00084156" w:rsidRDefault="001F1FFB" w:rsidP="00084156">
      <w:pPr>
        <w:pStyle w:val="NormalWeb"/>
        <w:spacing w:before="0" w:beforeAutospacing="0"/>
        <w:ind w:firstLine="720"/>
        <w:jc w:val="both"/>
        <w:rPr>
          <w:color w:val="000000"/>
        </w:rPr>
      </w:pPr>
      <w:r w:rsidRPr="00084156">
        <w:rPr>
          <w:color w:val="000000"/>
        </w:rPr>
        <w:t>Os profissionais não estarão no ambiente escolar apenas para tratar os problemas já existentes, mas principalmente, para evitar que novos problemas apareçam.</w:t>
      </w:r>
    </w:p>
    <w:p w14:paraId="2B8FD40B" w14:textId="4945DA28" w:rsidR="001F1FFB" w:rsidRPr="00084156" w:rsidRDefault="001F1FFB" w:rsidP="00084156">
      <w:pPr>
        <w:pStyle w:val="NormalWeb"/>
        <w:spacing w:before="0" w:beforeAutospacing="0"/>
        <w:ind w:firstLine="720"/>
        <w:jc w:val="both"/>
        <w:rPr>
          <w:color w:val="000000"/>
        </w:rPr>
      </w:pPr>
      <w:r w:rsidRPr="00084156">
        <w:rPr>
          <w:color w:val="000000"/>
        </w:rPr>
        <w:t>Somos conhecedores de que os pais destes estudantes, por vezes, não têm condições de arcar com tratamentos ou não encontram respaldo na rede pública de saúde, já muito saturada.</w:t>
      </w:r>
      <w:r w:rsidR="006F4540" w:rsidRPr="00084156">
        <w:rPr>
          <w:color w:val="000000"/>
        </w:rPr>
        <w:t xml:space="preserve"> Garantiremos acesso à saúde bucal para milhares de jovens tocantinenses. É saúde, autoestima e dignidade.</w:t>
      </w:r>
    </w:p>
    <w:p w14:paraId="4926BA45" w14:textId="17CEFA30" w:rsidR="001F1FFB" w:rsidRPr="00084156" w:rsidRDefault="001F1FFB" w:rsidP="00084156">
      <w:pPr>
        <w:pStyle w:val="NormalWeb"/>
        <w:spacing w:before="0" w:beforeAutospacing="0"/>
        <w:ind w:firstLine="720"/>
        <w:jc w:val="both"/>
        <w:rPr>
          <w:color w:val="000000"/>
        </w:rPr>
      </w:pPr>
      <w:r w:rsidRPr="00084156">
        <w:rPr>
          <w:color w:val="000000"/>
        </w:rPr>
        <w:t>Colocaremos o Tocantins na vanguarda da saúde bucal no Brasil</w:t>
      </w:r>
      <w:r w:rsidR="006F4540" w:rsidRPr="00084156">
        <w:rPr>
          <w:color w:val="000000"/>
        </w:rPr>
        <w:t>.</w:t>
      </w:r>
    </w:p>
    <w:p w14:paraId="7BE56E9F" w14:textId="172580D9" w:rsidR="001F1FFB" w:rsidRDefault="001F1FFB" w:rsidP="00084156">
      <w:pPr>
        <w:pStyle w:val="NormalWeb"/>
        <w:spacing w:before="0" w:beforeAutospacing="0"/>
        <w:ind w:firstLine="720"/>
        <w:jc w:val="both"/>
        <w:rPr>
          <w:color w:val="000000"/>
        </w:rPr>
      </w:pPr>
      <w:r w:rsidRPr="00084156">
        <w:rPr>
          <w:color w:val="000000"/>
        </w:rPr>
        <w:t>Ante</w:t>
      </w:r>
      <w:r w:rsidR="00084156" w:rsidRPr="00084156">
        <w:rPr>
          <w:color w:val="000000"/>
        </w:rPr>
        <w:t xml:space="preserve"> o exposto, conclamo os nobres P</w:t>
      </w:r>
      <w:r w:rsidRPr="00084156">
        <w:rPr>
          <w:color w:val="000000"/>
        </w:rPr>
        <w:t>ares para a aprovação da presente propositura.</w:t>
      </w:r>
    </w:p>
    <w:p w14:paraId="671E4B8B" w14:textId="77777777" w:rsidR="00084156" w:rsidRPr="00084156" w:rsidRDefault="00084156" w:rsidP="00084156">
      <w:pPr>
        <w:pStyle w:val="NormalWeb"/>
        <w:spacing w:before="0" w:beforeAutospacing="0"/>
        <w:ind w:firstLine="720"/>
        <w:jc w:val="both"/>
        <w:rPr>
          <w:color w:val="000000"/>
        </w:rPr>
      </w:pPr>
      <w:bookmarkStart w:id="0" w:name="_GoBack"/>
      <w:bookmarkEnd w:id="0"/>
    </w:p>
    <w:p w14:paraId="7A5A2E1D" w14:textId="1B763474" w:rsidR="00084156" w:rsidRPr="00A15ACE" w:rsidRDefault="00084156" w:rsidP="00084156">
      <w:pPr>
        <w:ind w:firstLine="708"/>
        <w:jc w:val="both"/>
      </w:pPr>
      <w:r w:rsidRPr="00A15ACE">
        <w:t xml:space="preserve">Sala das Sessões, </w:t>
      </w:r>
      <w:r>
        <w:t>25 de Outubro</w:t>
      </w:r>
      <w:r w:rsidRPr="00A15ACE">
        <w:t xml:space="preserve"> de 2022.</w:t>
      </w:r>
    </w:p>
    <w:p w14:paraId="70A7F51C" w14:textId="77777777" w:rsidR="00084156" w:rsidRPr="00A15ACE" w:rsidRDefault="00084156" w:rsidP="00084156">
      <w:pPr>
        <w:ind w:firstLine="708"/>
        <w:jc w:val="both"/>
      </w:pPr>
    </w:p>
    <w:p w14:paraId="767326A2" w14:textId="77777777" w:rsidR="00084156" w:rsidRPr="00B328A6" w:rsidRDefault="00084156" w:rsidP="00084156">
      <w:pPr>
        <w:jc w:val="center"/>
      </w:pPr>
      <w:r w:rsidRPr="00B328A6">
        <w:rPr>
          <w:noProof/>
        </w:rPr>
        <w:drawing>
          <wp:inline distT="0" distB="0" distL="0" distR="0" wp14:anchorId="3C4C43C4" wp14:editId="54D09570">
            <wp:extent cx="1476375" cy="120961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JORGE DIGITAL OK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r="8583" b="-1297"/>
                    <a:stretch/>
                  </pic:blipFill>
                  <pic:spPr bwMode="auto">
                    <a:xfrm>
                      <a:off x="0" y="0"/>
                      <a:ext cx="1504823" cy="123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9E119C" w14:textId="77777777" w:rsidR="00084156" w:rsidRPr="00A15ACE" w:rsidRDefault="00084156" w:rsidP="00084156">
      <w:pPr>
        <w:jc w:val="center"/>
      </w:pPr>
      <w:r w:rsidRPr="00A15ACE">
        <w:t>JORGE FREDERICO</w:t>
      </w:r>
    </w:p>
    <w:p w14:paraId="5D1651C8" w14:textId="77777777" w:rsidR="00084156" w:rsidRPr="00A15ACE" w:rsidRDefault="00084156" w:rsidP="00084156">
      <w:pPr>
        <w:jc w:val="center"/>
      </w:pPr>
      <w:r w:rsidRPr="00A15ACE">
        <w:t>Deputado Estadual</w:t>
      </w:r>
    </w:p>
    <w:p w14:paraId="7BB629BE" w14:textId="77777777" w:rsidR="001F1FFB" w:rsidRPr="001F1FFB" w:rsidRDefault="001F1FFB" w:rsidP="001F1FFB">
      <w:pPr>
        <w:jc w:val="both"/>
        <w:rPr>
          <w:rFonts w:ascii="Calibri" w:hAnsi="Calibri" w:cs="Calibri"/>
        </w:rPr>
      </w:pPr>
    </w:p>
    <w:sectPr w:rsidR="001F1FFB" w:rsidRPr="001F1FFB" w:rsidSect="00D8731D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492A2" w14:textId="77777777" w:rsidR="00155E17" w:rsidRDefault="00155E17" w:rsidP="00084156">
      <w:r>
        <w:separator/>
      </w:r>
    </w:p>
  </w:endnote>
  <w:endnote w:type="continuationSeparator" w:id="0">
    <w:p w14:paraId="5E7023DB" w14:textId="77777777" w:rsidR="00155E17" w:rsidRDefault="00155E17" w:rsidP="0008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ECD50" w14:textId="77777777" w:rsidR="00155E17" w:rsidRDefault="00155E17" w:rsidP="00084156">
      <w:r>
        <w:separator/>
      </w:r>
    </w:p>
  </w:footnote>
  <w:footnote w:type="continuationSeparator" w:id="0">
    <w:p w14:paraId="7A11C453" w14:textId="77777777" w:rsidR="00155E17" w:rsidRDefault="00155E17" w:rsidP="00084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761C1" w14:textId="7EB31300" w:rsidR="00084156" w:rsidRPr="00375362" w:rsidRDefault="00084156" w:rsidP="00084156">
    <w:pPr>
      <w:pStyle w:val="Cabealho"/>
      <w:tabs>
        <w:tab w:val="left" w:pos="6440"/>
      </w:tabs>
      <w:jc w:val="center"/>
    </w:pPr>
    <w:r w:rsidRPr="00375362">
      <w:rPr>
        <w:noProof/>
      </w:rPr>
      <w:drawing>
        <wp:inline distT="0" distB="0" distL="0" distR="0" wp14:anchorId="436D5635" wp14:editId="54910126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1E0B58" w14:textId="77777777" w:rsidR="00084156" w:rsidRDefault="00084156" w:rsidP="00084156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14:paraId="7EA60DD3" w14:textId="77777777" w:rsidR="00084156" w:rsidRDefault="00084156" w:rsidP="00084156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14:paraId="3EA41331" w14:textId="0106D8AD" w:rsidR="00084156" w:rsidRDefault="00084156">
    <w:pPr>
      <w:pStyle w:val="Cabealho"/>
    </w:pPr>
  </w:p>
  <w:p w14:paraId="641CCDC6" w14:textId="77777777" w:rsidR="00084156" w:rsidRDefault="000841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22"/>
    <w:rsid w:val="00084156"/>
    <w:rsid w:val="00155E17"/>
    <w:rsid w:val="001F1FFB"/>
    <w:rsid w:val="004E0450"/>
    <w:rsid w:val="006F4540"/>
    <w:rsid w:val="009A7A22"/>
    <w:rsid w:val="00D37111"/>
    <w:rsid w:val="00D8731D"/>
    <w:rsid w:val="00D91115"/>
    <w:rsid w:val="00E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592D8"/>
  <w14:defaultImageDpi w14:val="300"/>
  <w15:docId w15:val="{7692FFD5-CFF1-8942-9728-EA1064DF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FFB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A7A22"/>
  </w:style>
  <w:style w:type="character" w:customStyle="1" w:styleId="apple-converted-space">
    <w:name w:val="apple-converted-space"/>
    <w:basedOn w:val="Fontepargpadro"/>
    <w:rsid w:val="001F1FFB"/>
  </w:style>
  <w:style w:type="character" w:styleId="Hyperlink">
    <w:name w:val="Hyperlink"/>
    <w:basedOn w:val="Fontepargpadro"/>
    <w:uiPriority w:val="99"/>
    <w:semiHidden/>
    <w:unhideWhenUsed/>
    <w:rsid w:val="001F1F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1FFB"/>
    <w:pPr>
      <w:spacing w:before="100" w:beforeAutospacing="1" w:after="100" w:afterAutospacing="1"/>
    </w:pPr>
  </w:style>
  <w:style w:type="paragraph" w:customStyle="1" w:styleId="Ementa">
    <w:name w:val="Ementa"/>
    <w:basedOn w:val="Normal"/>
    <w:uiPriority w:val="1"/>
    <w:qFormat/>
    <w:rsid w:val="001F1FFB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84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4156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4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4156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1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14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Andressa Borges Xavier</cp:lastModifiedBy>
  <cp:revision>4</cp:revision>
  <cp:lastPrinted>2022-10-25T12:28:00Z</cp:lastPrinted>
  <dcterms:created xsi:type="dcterms:W3CDTF">2022-10-24T18:26:00Z</dcterms:created>
  <dcterms:modified xsi:type="dcterms:W3CDTF">2022-10-25T12:28:00Z</dcterms:modified>
</cp:coreProperties>
</file>