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E2B" w14:textId="6F5E4D15" w:rsidR="00BD257A" w:rsidRPr="00F45F93" w:rsidRDefault="002E3235" w:rsidP="00F41576">
      <w:pPr>
        <w:widowControl/>
        <w:autoSpaceDE/>
        <w:autoSpaceDN/>
        <w:adjustRightInd/>
        <w:spacing w:before="100" w:beforeAutospacing="1" w:after="100" w:afterAutospacing="1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F45F9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F45F93">
        <w:rPr>
          <w:rFonts w:ascii="Segoe UI" w:hAnsi="Segoe UI" w:cs="Segoe UI"/>
          <w:b/>
          <w:bCs/>
          <w:sz w:val="24"/>
          <w:szCs w:val="24"/>
        </w:rPr>
        <w:t>E LEI Nº</w:t>
      </w:r>
      <w:r w:rsidR="00C40F92">
        <w:rPr>
          <w:rFonts w:ascii="Segoe UI" w:hAnsi="Segoe UI" w:cs="Segoe UI"/>
          <w:b/>
          <w:bCs/>
          <w:sz w:val="24"/>
          <w:szCs w:val="24"/>
        </w:rPr>
        <w:t xml:space="preserve"> /</w:t>
      </w:r>
      <w:r w:rsidR="00B014CF" w:rsidRPr="00F45F93">
        <w:rPr>
          <w:rFonts w:ascii="Segoe UI" w:hAnsi="Segoe UI" w:cs="Segoe UI"/>
          <w:b/>
          <w:bCs/>
          <w:sz w:val="24"/>
          <w:szCs w:val="24"/>
        </w:rPr>
        <w:t>20</w:t>
      </w:r>
      <w:r w:rsidRPr="00F45F93">
        <w:rPr>
          <w:rFonts w:ascii="Segoe UI" w:hAnsi="Segoe UI" w:cs="Segoe UI"/>
          <w:b/>
          <w:bCs/>
          <w:sz w:val="24"/>
          <w:szCs w:val="24"/>
        </w:rPr>
        <w:t>2</w:t>
      </w:r>
      <w:r w:rsidR="00C90008">
        <w:rPr>
          <w:rFonts w:ascii="Segoe UI" w:hAnsi="Segoe UI" w:cs="Segoe UI"/>
          <w:b/>
          <w:bCs/>
          <w:sz w:val="24"/>
          <w:szCs w:val="24"/>
        </w:rPr>
        <w:t>5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.</w:t>
      </w:r>
    </w:p>
    <w:p w14:paraId="75A21A8F" w14:textId="420FF099" w:rsidR="00EE6D87" w:rsidRDefault="00C90008" w:rsidP="00F01C33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396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</w:t>
      </w:r>
      <w:r w:rsidRPr="00C90008">
        <w:rPr>
          <w:rFonts w:ascii="Segoe UI" w:hAnsi="Segoe UI" w:cs="Segoe UI"/>
          <w:sz w:val="24"/>
          <w:szCs w:val="24"/>
        </w:rPr>
        <w:t>nstitui o Programa Tocantins Verde: Sustentabilidade e Inclusão Social, e dá outras providências.</w:t>
      </w:r>
    </w:p>
    <w:p w14:paraId="66E1D236" w14:textId="788DE73C" w:rsidR="00753048" w:rsidRPr="00303D9E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3D9E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303D9E">
        <w:rPr>
          <w:rFonts w:ascii="Segoe UI" w:hAnsi="Segoe UI" w:cs="Segoe UI"/>
          <w:b/>
          <w:sz w:val="24"/>
          <w:szCs w:val="24"/>
        </w:rPr>
        <w:t>ASSEMBLEIA LEGISLATIVA DO ESTADO</w:t>
      </w:r>
      <w:r w:rsidR="00C90008">
        <w:rPr>
          <w:rFonts w:ascii="Segoe UI" w:hAnsi="Segoe UI" w:cs="Segoe UI"/>
          <w:b/>
          <w:sz w:val="24"/>
          <w:szCs w:val="24"/>
        </w:rPr>
        <w:t xml:space="preserve"> </w:t>
      </w:r>
      <w:r w:rsidR="002E3235" w:rsidRPr="00303D9E">
        <w:rPr>
          <w:rFonts w:ascii="Segoe UI" w:hAnsi="Segoe UI" w:cs="Segoe UI"/>
          <w:b/>
          <w:sz w:val="24"/>
          <w:szCs w:val="24"/>
        </w:rPr>
        <w:t>DO TOCANTINS</w:t>
      </w:r>
      <w:r w:rsidRPr="00303D9E">
        <w:rPr>
          <w:rFonts w:ascii="Segoe UI" w:hAnsi="Segoe UI" w:cs="Segoe UI"/>
          <w:sz w:val="24"/>
          <w:szCs w:val="24"/>
        </w:rPr>
        <w:t xml:space="preserve">, </w:t>
      </w:r>
      <w:r w:rsidR="00C40F92">
        <w:rPr>
          <w:rFonts w:ascii="Segoe UI" w:hAnsi="Segoe UI" w:cs="Segoe UI"/>
          <w:sz w:val="24"/>
          <w:szCs w:val="24"/>
        </w:rPr>
        <w:t>d</w:t>
      </w:r>
      <w:r w:rsidR="00695E2F">
        <w:rPr>
          <w:rFonts w:ascii="Segoe UI" w:hAnsi="Segoe UI" w:cs="Segoe UI"/>
          <w:sz w:val="24"/>
          <w:szCs w:val="24"/>
        </w:rPr>
        <w:t>ecreta</w:t>
      </w:r>
      <w:r w:rsidRPr="00303D9E">
        <w:rPr>
          <w:rFonts w:ascii="Segoe UI" w:hAnsi="Segoe UI" w:cs="Segoe UI"/>
          <w:sz w:val="24"/>
          <w:szCs w:val="24"/>
        </w:rPr>
        <w:t>:</w:t>
      </w:r>
    </w:p>
    <w:p w14:paraId="666F3DCB" w14:textId="4B75FCF5" w:rsidR="00C90008" w:rsidRPr="00C90008" w:rsidRDefault="0082020D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Art</w:t>
      </w:r>
      <w:r w:rsidR="00F45F93"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1º</w:t>
      </w:r>
      <w:r w:rsidR="00C900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C90008" w:rsidRPr="00C90008">
        <w:rPr>
          <w:rFonts w:ascii="Segoe UI" w:hAnsi="Segoe UI" w:cs="Segoe UI"/>
          <w:sz w:val="24"/>
          <w:szCs w:val="24"/>
        </w:rPr>
        <w:t>Fica instituído o Programa Tocantins Verde: Sustentabilidade e Inclusão Social, com o objetivo de promover a sustentabilidade ambiental, social e econômica no Estado do Tocantins, por meio de ações integradas voltadas para a educação ambiental, incentivo à economia circular, recuperação de áreas degradadas e apoio a práticas agrícolas sustentáveis.</w:t>
      </w:r>
    </w:p>
    <w:p w14:paraId="78003093" w14:textId="4503656D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b/>
          <w:bCs/>
          <w:sz w:val="24"/>
          <w:szCs w:val="24"/>
        </w:rPr>
        <w:t>Art. 2º</w:t>
      </w:r>
      <w:r w:rsidRPr="00C90008">
        <w:rPr>
          <w:rFonts w:ascii="Segoe UI" w:hAnsi="Segoe UI" w:cs="Segoe UI"/>
          <w:sz w:val="24"/>
          <w:szCs w:val="24"/>
        </w:rPr>
        <w:t xml:space="preserve"> O Programa Tocantins Verde tem como diretrizes:</w:t>
      </w:r>
    </w:p>
    <w:p w14:paraId="3A545FC7" w14:textId="639695F0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 xml:space="preserve">I - </w:t>
      </w:r>
      <w:proofErr w:type="gramStart"/>
      <w:r>
        <w:rPr>
          <w:rFonts w:ascii="Segoe UI" w:hAnsi="Segoe UI" w:cs="Segoe UI"/>
          <w:sz w:val="24"/>
          <w:szCs w:val="24"/>
        </w:rPr>
        <w:t>p</w:t>
      </w:r>
      <w:r w:rsidRPr="00C90008">
        <w:rPr>
          <w:rFonts w:ascii="Segoe UI" w:hAnsi="Segoe UI" w:cs="Segoe UI"/>
          <w:sz w:val="24"/>
          <w:szCs w:val="24"/>
        </w:rPr>
        <w:t>romover</w:t>
      </w:r>
      <w:proofErr w:type="gramEnd"/>
      <w:r w:rsidRPr="00C90008">
        <w:rPr>
          <w:rFonts w:ascii="Segoe UI" w:hAnsi="Segoe UI" w:cs="Segoe UI"/>
          <w:sz w:val="24"/>
          <w:szCs w:val="24"/>
        </w:rPr>
        <w:t xml:space="preserve"> a educação ambiental em todos os níveis de ensino no Estado do Tocantins;</w:t>
      </w:r>
    </w:p>
    <w:p w14:paraId="51EB302E" w14:textId="46D2DF36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>II -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i</w:t>
      </w:r>
      <w:r w:rsidRPr="00C90008">
        <w:rPr>
          <w:rFonts w:ascii="Segoe UI" w:hAnsi="Segoe UI" w:cs="Segoe UI"/>
          <w:sz w:val="24"/>
          <w:szCs w:val="24"/>
        </w:rPr>
        <w:t>ncentivar</w:t>
      </w:r>
      <w:proofErr w:type="gramEnd"/>
      <w:r w:rsidRPr="00C90008">
        <w:rPr>
          <w:rFonts w:ascii="Segoe UI" w:hAnsi="Segoe UI" w:cs="Segoe UI"/>
          <w:sz w:val="24"/>
          <w:szCs w:val="24"/>
        </w:rPr>
        <w:t xml:space="preserve"> a economia circular, com foco na reciclagem e no reaproveitamento de resíduos;</w:t>
      </w:r>
    </w:p>
    <w:p w14:paraId="46A43B36" w14:textId="3A0CEEA8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 xml:space="preserve">III - </w:t>
      </w:r>
      <w:r>
        <w:rPr>
          <w:rFonts w:ascii="Segoe UI" w:hAnsi="Segoe UI" w:cs="Segoe UI"/>
          <w:sz w:val="24"/>
          <w:szCs w:val="24"/>
        </w:rPr>
        <w:t>a</w:t>
      </w:r>
      <w:r w:rsidRPr="00C90008">
        <w:rPr>
          <w:rFonts w:ascii="Segoe UI" w:hAnsi="Segoe UI" w:cs="Segoe UI"/>
          <w:sz w:val="24"/>
          <w:szCs w:val="24"/>
        </w:rPr>
        <w:t>poiar a recuperação de áreas degradadas e reflorestamento;</w:t>
      </w:r>
    </w:p>
    <w:p w14:paraId="2580730A" w14:textId="4F4F0237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 xml:space="preserve">IV - </w:t>
      </w:r>
      <w:proofErr w:type="gramStart"/>
      <w:r>
        <w:rPr>
          <w:rFonts w:ascii="Segoe UI" w:hAnsi="Segoe UI" w:cs="Segoe UI"/>
          <w:sz w:val="24"/>
          <w:szCs w:val="24"/>
        </w:rPr>
        <w:t>f</w:t>
      </w:r>
      <w:r w:rsidRPr="00C90008">
        <w:rPr>
          <w:rFonts w:ascii="Segoe UI" w:hAnsi="Segoe UI" w:cs="Segoe UI"/>
          <w:sz w:val="24"/>
          <w:szCs w:val="24"/>
        </w:rPr>
        <w:t>omentar</w:t>
      </w:r>
      <w:proofErr w:type="gramEnd"/>
      <w:r w:rsidRPr="00C90008">
        <w:rPr>
          <w:rFonts w:ascii="Segoe UI" w:hAnsi="Segoe UI" w:cs="Segoe UI"/>
          <w:sz w:val="24"/>
          <w:szCs w:val="24"/>
        </w:rPr>
        <w:t xml:space="preserve"> a adoção de práticas de agricultura sustentável;</w:t>
      </w:r>
    </w:p>
    <w:p w14:paraId="4BCA1A1A" w14:textId="2E4E8E18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 xml:space="preserve">V - </w:t>
      </w:r>
      <w:proofErr w:type="gramStart"/>
      <w:r>
        <w:rPr>
          <w:rFonts w:ascii="Segoe UI" w:hAnsi="Segoe UI" w:cs="Segoe UI"/>
          <w:sz w:val="24"/>
          <w:szCs w:val="24"/>
        </w:rPr>
        <w:t>e</w:t>
      </w:r>
      <w:r w:rsidRPr="00C90008">
        <w:rPr>
          <w:rFonts w:ascii="Segoe UI" w:hAnsi="Segoe UI" w:cs="Segoe UI"/>
          <w:sz w:val="24"/>
          <w:szCs w:val="24"/>
        </w:rPr>
        <w:t>stimular</w:t>
      </w:r>
      <w:proofErr w:type="gramEnd"/>
      <w:r w:rsidRPr="00C90008">
        <w:rPr>
          <w:rFonts w:ascii="Segoe UI" w:hAnsi="Segoe UI" w:cs="Segoe UI"/>
          <w:sz w:val="24"/>
          <w:szCs w:val="24"/>
        </w:rPr>
        <w:t xml:space="preserve"> o uso de tecnologias limpas e fontes de energia renováveis no Estado;</w:t>
      </w:r>
    </w:p>
    <w:p w14:paraId="6B698DE8" w14:textId="3C35598E" w:rsid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C90008">
        <w:rPr>
          <w:rFonts w:ascii="Segoe UI" w:hAnsi="Segoe UI" w:cs="Segoe UI"/>
          <w:sz w:val="24"/>
          <w:szCs w:val="24"/>
        </w:rPr>
        <w:t>VI -</w:t>
      </w:r>
      <w:proofErr w:type="gramStart"/>
      <w:r>
        <w:rPr>
          <w:rFonts w:ascii="Segoe UI" w:hAnsi="Segoe UI" w:cs="Segoe UI"/>
          <w:sz w:val="24"/>
          <w:szCs w:val="24"/>
        </w:rPr>
        <w:t>e</w:t>
      </w:r>
      <w:r w:rsidRPr="00C90008">
        <w:rPr>
          <w:rFonts w:ascii="Segoe UI" w:hAnsi="Segoe UI" w:cs="Segoe UI"/>
          <w:sz w:val="24"/>
          <w:szCs w:val="24"/>
        </w:rPr>
        <w:t>stabelecer</w:t>
      </w:r>
      <w:proofErr w:type="gramEnd"/>
      <w:r w:rsidRPr="00C90008">
        <w:rPr>
          <w:rFonts w:ascii="Segoe UI" w:hAnsi="Segoe UI" w:cs="Segoe UI"/>
          <w:sz w:val="24"/>
          <w:szCs w:val="24"/>
        </w:rPr>
        <w:t xml:space="preserve"> parcerias público-privadas para o desenvolvimento de projetos sustentáveis.</w:t>
      </w:r>
    </w:p>
    <w:p w14:paraId="06B0D66A" w14:textId="4110ECFA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3º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Fica instituída a disciplina de Educação Ambiental nas escolas públicas e privadas do Estado do Tocantins, com conteúdo programático voltado para:</w:t>
      </w:r>
    </w:p>
    <w:p w14:paraId="491E5CE6" w14:textId="5A645683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conscientização sobre a importância da preservação do meio ambiente;</w:t>
      </w:r>
    </w:p>
    <w:p w14:paraId="2CDECCD5" w14:textId="7F155B42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redução, reutilização e reciclagem de resíduos;</w:t>
      </w:r>
    </w:p>
    <w:p w14:paraId="7A64C2B8" w14:textId="4869A675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lastRenderedPageBreak/>
        <w:t xml:space="preserve">III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impacto das atividades humanas no meio ambiente e as mudanças climáticas;</w:t>
      </w:r>
    </w:p>
    <w:p w14:paraId="3825606B" w14:textId="3BB15717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IV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s práticas de consumo consciente e sustentável.</w:t>
      </w:r>
    </w:p>
    <w:p w14:paraId="0ADDB821" w14:textId="5259C0CF" w:rsidR="00C90008" w:rsidRPr="00C90008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§ 1º A disciplina será de caráter obrigatório em todas as etapas de ensino, desde a educação infantil até o ensino médio.</w:t>
      </w:r>
    </w:p>
    <w:p w14:paraId="1165DF39" w14:textId="70856628" w:rsidR="00C90008" w:rsidRPr="00C90008" w:rsidRDefault="00C900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§ 2º O conteúdo será elaborado pela Secretaria de Educação do Estado do Tocantins, com a participação de especialistas da área ambiental e de organizações não governamentais voltadas para a educação ambiental.</w:t>
      </w:r>
    </w:p>
    <w:p w14:paraId="18A090A6" w14:textId="0C314648" w:rsidR="00F01C33" w:rsidRDefault="00C90008" w:rsidP="00C900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4º</w:t>
      </w:r>
      <w:r w:rsidRPr="00C900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 Secretaria de Educação do Estado do Tocantins, em parceria com a Secretaria de Meio Ambiente e Recursos Hídricos, promoverá campanhas anuais de conscientização ambiental nas escolas, com foco em práticas sustentáveis e preservação de recursos naturais.</w:t>
      </w:r>
    </w:p>
    <w:p w14:paraId="109A9E03" w14:textId="73F2EAC0" w:rsidR="00244608" w:rsidRPr="00244608" w:rsidRDefault="00DC6C76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</w:t>
      </w:r>
      <w:r w:rsidR="00695E2F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5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º</w:t>
      </w:r>
      <w:r w:rsid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244608"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 Estado incentivará a criação de Centros de Reciclagem e Reaproveitamento de Resíduos, em todos os municípios do Tocantins, com o objetivo de:</w:t>
      </w:r>
    </w:p>
    <w:p w14:paraId="16AC9F13" w14:textId="20D5E776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c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oletar, separar, processar e transformar materiais recicláveis em novos produtos;</w:t>
      </w:r>
    </w:p>
    <w:p w14:paraId="775F6867" w14:textId="03D99E65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c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riar cooperativas de reciclagem, especialmente em comunidades periféricas e rurais, gerando emprego e renda;</w:t>
      </w:r>
    </w:p>
    <w:p w14:paraId="6B81A483" w14:textId="722675D7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i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mplementar programas de educação sobre a separação adequada de resíduos nos lares, escolas e empresas.</w:t>
      </w:r>
    </w:p>
    <w:p w14:paraId="62D9EC9F" w14:textId="48839B30" w:rsidR="009F0E9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6º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As empresas que promoverem práticas de economia circular, como a reciclagem e o reaproveitamento de resíduos, poderão ser beneficiadas com incentivos fiscais, conforme regulamentação específica do Executivo Estadual.</w:t>
      </w:r>
    </w:p>
    <w:p w14:paraId="5C2230E4" w14:textId="77777777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Art. 7º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Fica instituído o programa “Reflorestar Tocantins”, destinado à recuperação de áreas degradadas, reflorestamento e preservação de nascentes no Estado.</w:t>
      </w:r>
    </w:p>
    <w:p w14:paraId="26BA8A40" w14:textId="77777777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/>
          <w:noProof/>
          <w:color w:val="000000" w:themeColor="text1"/>
          <w:sz w:val="24"/>
          <w:szCs w:val="24"/>
        </w:rPr>
      </w:pPr>
    </w:p>
    <w:p w14:paraId="582886A5" w14:textId="6D64FE11" w:rsidR="00244608" w:rsidRPr="00F41551" w:rsidRDefault="00244608" w:rsidP="00F41551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lastRenderedPageBreak/>
        <w:t xml:space="preserve">Art. 8º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 programa será coordenado pela Secretaria de Meio Ambiente e Recursos Hídricos, em parceria com entidades ambientais, organizações não governamentais, empresas e a população local.</w:t>
      </w:r>
    </w:p>
    <w:p w14:paraId="2B50A593" w14:textId="522CD109" w:rsidR="00244608" w:rsidRPr="00F41551" w:rsidRDefault="00244608" w:rsidP="00F41551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Art. 9º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 Governo do Estado destinará anualmente, no orçamento estadual, recursos para a implementação do programa “Reflorestar Tocantins”, que incluirá:</w:t>
      </w:r>
    </w:p>
    <w:p w14:paraId="4FECD05E" w14:textId="25AED129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identificação das áreas prioritárias para reflorestamento e recuperação;</w:t>
      </w:r>
    </w:p>
    <w:p w14:paraId="4B02896E" w14:textId="5638D527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criação de viveiros para a produção de mudas nativas;</w:t>
      </w:r>
    </w:p>
    <w:p w14:paraId="3B5F0E4A" w14:textId="4A94205B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capacitação de técnicos e comunidades para as atividades de recuperação ambiental.</w:t>
      </w:r>
    </w:p>
    <w:p w14:paraId="4D6EAF24" w14:textId="47B16859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10</w:t>
      </w:r>
      <w:r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 Estado do Tocantins incentivará práticas agrícolas sustentáveis, com o objetivo de promover a preservação do solo, a biodiversidade e a utilização racional dos recursos naturais.</w:t>
      </w:r>
    </w:p>
    <w:p w14:paraId="3D916E57" w14:textId="502D1774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11</w:t>
      </w:r>
      <w:r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.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Fica criada uma linha de crédito especial para pequenos e médios agricultores que adotem práticas de agricultura orgânica, agroecologia e outras soluções agrícolas de baixo impacto ambiental.</w:t>
      </w:r>
    </w:p>
    <w:p w14:paraId="7BE5516F" w14:textId="0BCE4FEE" w:rsid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12</w:t>
      </w:r>
      <w:r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 Secretaria da Agricultura e Pecuária do Estado do Tocantins, em parceria com entidades de pesquisa e extensão rural, promoverá capacitações sobre técnicas agrícolas sustentáveis e boas práticas no uso de recursos hídricos e do solo.</w:t>
      </w:r>
    </w:p>
    <w:p w14:paraId="183FFCE2" w14:textId="44FB9E2B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13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O Estado fomentará o uso de fontes de energia renováveis, como solar e eólica, em todas as suas estruturas públicas, incluindo escolas, hospitais, órgãos administrativos e prédios públicos em geral.</w:t>
      </w:r>
    </w:p>
    <w:p w14:paraId="69D5224C" w14:textId="77777777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</w:p>
    <w:p w14:paraId="04DD02EE" w14:textId="3B49F287" w:rsid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14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Serão oferecidos incentivos fiscais para empresas que implementarem projetos de energias renováveis no Estado, incluindo a instalação de sistemas solares e eólicos, tanto no setor público quanto privado.</w:t>
      </w:r>
    </w:p>
    <w:p w14:paraId="66C4AF0C" w14:textId="1C061E34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lastRenderedPageBreak/>
        <w:t>Art. 15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O Estado promoverá parcerias público-privadas (PPPs) para o desenvolvimento de projetos sustentáveis, que poderão incluir:</w:t>
      </w:r>
    </w:p>
    <w:p w14:paraId="227C5CDE" w14:textId="62CFA058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i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nvestimentos em infraestrutura verde, como sistemas de captação de água da chuva e saneamento ecológico;</w:t>
      </w:r>
    </w:p>
    <w:p w14:paraId="18036DA5" w14:textId="1368AA58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a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poio a projetos de recuperação de ecossistemas e preservação da biodiversidade;</w:t>
      </w:r>
    </w:p>
    <w:p w14:paraId="3A38521D" w14:textId="6241F004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III - 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i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mplementação de soluções para a gestão sustentável dos resíduos urbanos e rurais.</w:t>
      </w:r>
    </w:p>
    <w:p w14:paraId="1EE9FCDC" w14:textId="7FAC90D4" w:rsid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6.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O Estado poderá firmar convênios com empresas e organizações não governamentais para a realização de campanhas de educação e conscientização sobre os benefícios da sustentabilidade e as ações que devem ser adotadas pela população.</w:t>
      </w:r>
    </w:p>
    <w:p w14:paraId="0DDE6FAC" w14:textId="7B1575DA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17</w:t>
      </w: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O Executivo Estadual regulamentará a presente Lei no prazo de até 180 (cento e oitenta) dias, após sua publicação, com a criação de comissões, normas operacionais e a definição dos recursos orçamentários necessários para a implementação do programa.</w:t>
      </w:r>
    </w:p>
    <w:p w14:paraId="1A3D1718" w14:textId="0D045AA0" w:rsidR="00244608" w:rsidRPr="00244608" w:rsidRDefault="00244608" w:rsidP="00244608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244608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18</w:t>
      </w:r>
      <w:r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. </w:t>
      </w:r>
      <w:r w:rsidRPr="00244608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Esta Lei entra em vigor na data de sua publicação.</w:t>
      </w:r>
    </w:p>
    <w:p w14:paraId="7EBFDC00" w14:textId="2242E7B4" w:rsidR="00D107C7" w:rsidRPr="00F45F93" w:rsidRDefault="006C3DD5" w:rsidP="00F142D3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F45F93">
        <w:rPr>
          <w:rFonts w:ascii="Segoe UI" w:hAnsi="Segoe UI" w:cs="Segoe UI"/>
          <w:sz w:val="24"/>
          <w:szCs w:val="24"/>
        </w:rPr>
        <w:t>, ao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C40F92">
        <w:rPr>
          <w:rFonts w:ascii="Segoe UI" w:hAnsi="Segoe UI" w:cs="Segoe UI"/>
          <w:sz w:val="24"/>
          <w:szCs w:val="24"/>
        </w:rPr>
        <w:t xml:space="preserve"> </w:t>
      </w:r>
      <w:r w:rsidR="00244608">
        <w:rPr>
          <w:rFonts w:ascii="Segoe UI" w:hAnsi="Segoe UI" w:cs="Segoe UI"/>
          <w:sz w:val="24"/>
          <w:szCs w:val="24"/>
        </w:rPr>
        <w:t>03</w:t>
      </w:r>
      <w:r w:rsidR="00840F77" w:rsidRPr="00F45F93">
        <w:rPr>
          <w:rFonts w:ascii="Segoe UI" w:hAnsi="Segoe UI" w:cs="Segoe UI"/>
          <w:sz w:val="24"/>
          <w:szCs w:val="24"/>
        </w:rPr>
        <w:t xml:space="preserve"> dia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do mês de </w:t>
      </w:r>
      <w:r w:rsidR="00244608">
        <w:rPr>
          <w:rFonts w:ascii="Segoe UI" w:hAnsi="Segoe UI" w:cs="Segoe UI"/>
          <w:sz w:val="24"/>
          <w:szCs w:val="24"/>
        </w:rPr>
        <w:t>fevereiro</w:t>
      </w:r>
      <w:r w:rsidR="004458D4" w:rsidRPr="00F45F93">
        <w:rPr>
          <w:rFonts w:ascii="Segoe UI" w:hAnsi="Segoe UI" w:cs="Segoe UI"/>
          <w:sz w:val="24"/>
          <w:szCs w:val="24"/>
        </w:rPr>
        <w:t xml:space="preserve"> de </w:t>
      </w:r>
      <w:r w:rsidR="00B014CF" w:rsidRPr="00F45F93">
        <w:rPr>
          <w:rFonts w:ascii="Segoe UI" w:hAnsi="Segoe UI" w:cs="Segoe UI"/>
          <w:sz w:val="24"/>
          <w:szCs w:val="24"/>
        </w:rPr>
        <w:t>20</w:t>
      </w:r>
      <w:r w:rsidRPr="00F45F93">
        <w:rPr>
          <w:rFonts w:ascii="Segoe UI" w:hAnsi="Segoe UI" w:cs="Segoe UI"/>
          <w:sz w:val="24"/>
          <w:szCs w:val="24"/>
        </w:rPr>
        <w:t>2</w:t>
      </w:r>
      <w:r w:rsidR="00244608">
        <w:rPr>
          <w:rFonts w:ascii="Segoe UI" w:hAnsi="Segoe UI" w:cs="Segoe UI"/>
          <w:sz w:val="24"/>
          <w:szCs w:val="24"/>
        </w:rPr>
        <w:t>5</w:t>
      </w:r>
      <w:r w:rsidR="00D107C7" w:rsidRPr="00F45F93">
        <w:rPr>
          <w:rFonts w:ascii="Segoe UI" w:hAnsi="Segoe UI" w:cs="Segoe UI"/>
          <w:sz w:val="24"/>
          <w:szCs w:val="24"/>
        </w:rPr>
        <w:t>.</w:t>
      </w:r>
    </w:p>
    <w:p w14:paraId="6A0B60BB" w14:textId="77777777" w:rsidR="00244608" w:rsidRDefault="00244608" w:rsidP="00303D9E">
      <w:pPr>
        <w:widowControl/>
        <w:autoSpaceDE/>
        <w:autoSpaceDN/>
        <w:adjustRightInd/>
        <w:spacing w:before="120" w:after="120"/>
        <w:rPr>
          <w:rFonts w:ascii="Segoe UI" w:hAnsi="Segoe UI" w:cs="Segoe UI"/>
          <w:b/>
          <w:sz w:val="24"/>
          <w:szCs w:val="24"/>
        </w:rPr>
      </w:pPr>
    </w:p>
    <w:p w14:paraId="21DF6017" w14:textId="77777777" w:rsidR="00EE3624" w:rsidRPr="00121C8B" w:rsidRDefault="00EE3624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8"/>
          <w:szCs w:val="28"/>
        </w:rPr>
      </w:pPr>
      <w:r w:rsidRPr="00121C8B">
        <w:rPr>
          <w:rFonts w:ascii="Segoe UI" w:hAnsi="Segoe UI" w:cs="Segoe UI"/>
          <w:b/>
          <w:sz w:val="28"/>
          <w:szCs w:val="28"/>
        </w:rPr>
        <w:t xml:space="preserve">JUSTIFICATIVA </w:t>
      </w:r>
    </w:p>
    <w:p w14:paraId="10223D0D" w14:textId="77777777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</w:p>
    <w:p w14:paraId="12939694" w14:textId="5FD6CAE6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O </w:t>
      </w:r>
      <w:r>
        <w:rPr>
          <w:rFonts w:ascii="Segoe UI" w:hAnsi="Segoe UI" w:cs="Segoe UI"/>
          <w:sz w:val="24"/>
          <w:szCs w:val="24"/>
        </w:rPr>
        <w:t xml:space="preserve">Projeto de Lei </w:t>
      </w:r>
      <w:r w:rsidRPr="00244608">
        <w:rPr>
          <w:rFonts w:ascii="Segoe UI" w:hAnsi="Segoe UI" w:cs="Segoe UI"/>
          <w:sz w:val="24"/>
          <w:szCs w:val="24"/>
        </w:rPr>
        <w:t>que institui o Programa Tocantins Verde: Sustentabilidade e Inclusão Social, tem como principal objetivo promover o desenvolvimento sustentável no Estado do Tocantins, integrando ações ambientais, sociais e econômicas que garantam a preservação do meio ambiente, a melhoria da qualidade de vida da população e o incentivo à geração de empregos verdes.</w:t>
      </w:r>
    </w:p>
    <w:p w14:paraId="1CC33CCC" w14:textId="4E32D2A3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O presente projeto é de fundamental importância para o Estado do Tocantins, visto que:</w:t>
      </w:r>
    </w:p>
    <w:p w14:paraId="09002179" w14:textId="41053807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lastRenderedPageBreak/>
        <w:t>1. Necessidade de Conscientização Ambiental:</w:t>
      </w:r>
    </w:p>
    <w:p w14:paraId="5317CA78" w14:textId="4B5E9DBF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A crescente degradação ambiental, o desmatamento ilegal e os impactos das mudanças climáticas exigem ações urgentes. O Estado do Tocantins, como integrante da Amazônia Legal, possui uma responsabilidade ainda maior em relação à preservação de seus biomas, como o Cerrado e a Amazônia. A educação ambiental nas escolas e a conscientização em toda a população são medidas essenciais para a formação de uma sociedade mais consciente e proativa na proteção do meio ambiente.</w:t>
      </w:r>
    </w:p>
    <w:p w14:paraId="52BF2E84" w14:textId="2BBA2F07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2. Promoção de uma Economia Sustentável:</w:t>
      </w:r>
    </w:p>
    <w:p w14:paraId="3DF9CD0A" w14:textId="0B27C4E3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A economia circular, que propõe o reaproveitamento de resíduos e a transformação de materiais recicláveis em novos produtos, é uma alternativa viável e necessária para reduzir a quantidade de lixo gerado, minimizar o impacto ambiental e gerar novos empregos. O incentivo a cooperativas de reciclagem e o apoio a empresas que adotem práticas de economia circular trarão benefícios econômicos significativos, criando uma cadeia produtiva verde que beneficia tanto o meio ambiente quanto a economia local.</w:t>
      </w:r>
    </w:p>
    <w:p w14:paraId="333BC0A4" w14:textId="0CCDE186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3. Recuperação de Áreas Degradadas:</w:t>
      </w:r>
    </w:p>
    <w:p w14:paraId="1A00B0E7" w14:textId="2A252222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O reflorestamento e a recuperação de áreas degradadas são fundamentais para a manutenção da biodiversidade, da qualidade do solo e da água, além de desempenharem um papel importante no combate às mudanças climáticas. O Estado do Tocantins apresenta áreas que necessitam de atenção e cuidado, especialmente no que se refere às nascentes de rios e a recuperação de terras agrícolas degradadas, o que justifica a criação do </w:t>
      </w:r>
      <w:proofErr w:type="spellStart"/>
      <w:r w:rsidRPr="00244608">
        <w:rPr>
          <w:rFonts w:ascii="Segoe UI" w:hAnsi="Segoe UI" w:cs="Segoe UI"/>
          <w:sz w:val="24"/>
          <w:szCs w:val="24"/>
        </w:rPr>
        <w:t>programa"Reflorestar</w:t>
      </w:r>
      <w:proofErr w:type="spellEnd"/>
      <w:r w:rsidRPr="00244608">
        <w:rPr>
          <w:rFonts w:ascii="Segoe UI" w:hAnsi="Segoe UI" w:cs="Segoe UI"/>
          <w:sz w:val="24"/>
          <w:szCs w:val="24"/>
        </w:rPr>
        <w:t xml:space="preserve"> Tocantins".</w:t>
      </w:r>
    </w:p>
    <w:p w14:paraId="278F4FB5" w14:textId="1FE0B421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4. Apoio à Agricultura Sustentável:</w:t>
      </w:r>
    </w:p>
    <w:p w14:paraId="327A774B" w14:textId="22008A01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O agronegócio tem sido uma das principais fontes de geração de renda no Estado, mas práticas agrícolas insustentáveis ainda representam um grande desafio. A implementação de tecnologias agrícolas sustentáveis, como a agroecologia e a agricultura orgânica, não só ajuda a preservar o meio ambiente, mas também melhora a qualidade dos produtos, atendendo à crescente demanda por alimentos saudáveis. A criação de uma linha de crédito especial visa apoiar os pequenos e médios agricultores que desejam adotar essas práticas.</w:t>
      </w:r>
    </w:p>
    <w:p w14:paraId="1F3F414E" w14:textId="13ACAA4D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lastRenderedPageBreak/>
        <w:t>5. Promoção do Uso de Energias Renováveis:</w:t>
      </w:r>
    </w:p>
    <w:p w14:paraId="4CF396A3" w14:textId="17AC60F7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O Tocantins possui grande potencial para o uso de energias renováveis, como a solar e a eólica. Estimular a adoção dessas tecnologias em órgãos públicos e empresas privadas contribuirá para a redução de custos com energia e para o cumprimento das metas ambientais estaduais e nacionais, além de tornar o estado mais competitivo e alinhado com as diretrizes de sustentabilidade global.</w:t>
      </w:r>
    </w:p>
    <w:p w14:paraId="37E6D89C" w14:textId="3CB1721A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6. Integração de Ações Públicas e Privadas:</w:t>
      </w:r>
    </w:p>
    <w:p w14:paraId="52BC9054" w14:textId="7E731919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 xml:space="preserve">   A implementação deste programa depende da colaboração entre o setor público, empresas privadas, ONGs e a população. Por isso, a criação de parcerias público-privadas será um fator determinante para o sucesso das ações do Programa Tocantins Verde. As parcerias permitirão a realização de investimentos em infraestrutura sustentável, projetos de recuperação ambiental e iniciativas de capacitação para a população local.</w:t>
      </w:r>
    </w:p>
    <w:p w14:paraId="57BF646F" w14:textId="2096C321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Portanto, este projeto de lei representa uma resposta estratégica às necessidades urgentes de adaptação às mudanças climáticas, preservação ambiental e desenvolvimento econômico sustentável. Ele visa não apenas o fortalecimento das políticas públicas ambientais no Tocantins, mas também a construção de um futuro mais saudável, justo e equilibrado para as próximas gerações.</w:t>
      </w:r>
    </w:p>
    <w:p w14:paraId="25E58EEE" w14:textId="39B42175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244608">
        <w:rPr>
          <w:rFonts w:ascii="Segoe UI" w:hAnsi="Segoe UI" w:cs="Segoe UI"/>
          <w:sz w:val="24"/>
          <w:szCs w:val="24"/>
        </w:rPr>
        <w:t>Diante do exposto, conto com a aprovação dos nobres deputados para que possamos avançar nas ações de preservação ambiental, geração de emprego e inclusão social no Estado do Tocantins.</w:t>
      </w:r>
    </w:p>
    <w:p w14:paraId="146E1FE6" w14:textId="2424C89B" w:rsidR="00D62F5B" w:rsidRPr="00121C8B" w:rsidRDefault="00D62F5B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121C8B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121C8B">
        <w:rPr>
          <w:rFonts w:ascii="Segoe UI" w:hAnsi="Segoe UI" w:cs="Segoe UI"/>
          <w:caps/>
          <w:sz w:val="24"/>
          <w:szCs w:val="24"/>
        </w:rPr>
        <w:t xml:space="preserve">, </w:t>
      </w:r>
      <w:r w:rsidRPr="00121C8B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3F24A7" w:rsidRPr="00121C8B">
        <w:rPr>
          <w:rFonts w:ascii="Segoe UI" w:hAnsi="Segoe UI" w:cs="Segoe UI"/>
          <w:b/>
          <w:sz w:val="24"/>
          <w:szCs w:val="24"/>
        </w:rPr>
        <w:t xml:space="preserve">, aos </w:t>
      </w:r>
      <w:r w:rsidR="00F41551">
        <w:rPr>
          <w:rFonts w:ascii="Segoe UI" w:hAnsi="Segoe UI" w:cs="Segoe UI"/>
          <w:b/>
          <w:sz w:val="24"/>
          <w:szCs w:val="24"/>
        </w:rPr>
        <w:t>0</w:t>
      </w:r>
      <w:r w:rsidR="009F0E98">
        <w:rPr>
          <w:rFonts w:ascii="Segoe UI" w:hAnsi="Segoe UI" w:cs="Segoe UI"/>
          <w:b/>
          <w:sz w:val="24"/>
          <w:szCs w:val="24"/>
        </w:rPr>
        <w:t>3</w:t>
      </w:r>
      <w:r w:rsidRPr="00121C8B">
        <w:rPr>
          <w:rFonts w:ascii="Segoe UI" w:hAnsi="Segoe UI" w:cs="Segoe UI"/>
          <w:b/>
          <w:sz w:val="24"/>
          <w:szCs w:val="24"/>
        </w:rPr>
        <w:t xml:space="preserve"> dias do mês de</w:t>
      </w:r>
      <w:r w:rsidR="00F41551">
        <w:rPr>
          <w:rFonts w:ascii="Segoe UI" w:hAnsi="Segoe UI" w:cs="Segoe UI"/>
          <w:b/>
          <w:sz w:val="24"/>
          <w:szCs w:val="24"/>
        </w:rPr>
        <w:t xml:space="preserve"> fevereir</w:t>
      </w:r>
      <w:r w:rsidR="009F0E98">
        <w:rPr>
          <w:rFonts w:ascii="Segoe UI" w:hAnsi="Segoe UI" w:cs="Segoe UI"/>
          <w:b/>
          <w:sz w:val="24"/>
          <w:szCs w:val="24"/>
        </w:rPr>
        <w:t>o</w:t>
      </w:r>
      <w:r w:rsidRPr="00121C8B">
        <w:rPr>
          <w:rFonts w:ascii="Segoe UI" w:hAnsi="Segoe UI" w:cs="Segoe UI"/>
          <w:b/>
          <w:sz w:val="24"/>
          <w:szCs w:val="24"/>
        </w:rPr>
        <w:t xml:space="preserve"> de 202</w:t>
      </w:r>
      <w:r w:rsidR="00F41551">
        <w:rPr>
          <w:rFonts w:ascii="Segoe UI" w:hAnsi="Segoe UI" w:cs="Segoe UI"/>
          <w:b/>
          <w:sz w:val="24"/>
          <w:szCs w:val="24"/>
        </w:rPr>
        <w:t>5</w:t>
      </w:r>
      <w:r w:rsidRPr="00121C8B">
        <w:rPr>
          <w:rFonts w:ascii="Segoe UI" w:hAnsi="Segoe UI" w:cs="Segoe UI"/>
          <w:b/>
          <w:sz w:val="24"/>
          <w:szCs w:val="24"/>
        </w:rPr>
        <w:t>.</w:t>
      </w:r>
    </w:p>
    <w:p w14:paraId="5FCA7599" w14:textId="77777777" w:rsidR="00D62F5B" w:rsidRPr="00F45F93" w:rsidRDefault="00D62F5B" w:rsidP="00F41551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750E4D83" w14:textId="77777777" w:rsidR="00D62F5B" w:rsidRPr="00F45F93" w:rsidRDefault="00D62F5B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</w:t>
      </w:r>
    </w:p>
    <w:p w14:paraId="40C0A01D" w14:textId="77777777" w:rsidR="00D62F5B" w:rsidRPr="00F45F93" w:rsidRDefault="00D62F5B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8CB4663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F45F93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C60" w14:textId="77777777" w:rsidR="00442810" w:rsidRDefault="00442810">
      <w:r>
        <w:separator/>
      </w:r>
    </w:p>
  </w:endnote>
  <w:endnote w:type="continuationSeparator" w:id="0">
    <w:p w14:paraId="3702E220" w14:textId="77777777" w:rsidR="00442810" w:rsidRDefault="0044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304" w14:textId="77777777"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C861" w14:textId="77777777" w:rsidR="00442810" w:rsidRDefault="00442810">
      <w:r>
        <w:separator/>
      </w:r>
    </w:p>
  </w:footnote>
  <w:footnote w:type="continuationSeparator" w:id="0">
    <w:p w14:paraId="16523B99" w14:textId="77777777" w:rsidR="00442810" w:rsidRDefault="0044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933B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AEC27" wp14:editId="3D825249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1A088A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68C66242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B46CCC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2DBE9A63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04359E5C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1808F37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14:paraId="2A70A6A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14:paraId="3EB5EB4C" w14:textId="77777777"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5B"/>
    <w:rsid w:val="000009D3"/>
    <w:rsid w:val="00002D51"/>
    <w:rsid w:val="000061FD"/>
    <w:rsid w:val="000072CD"/>
    <w:rsid w:val="00010480"/>
    <w:rsid w:val="000210A3"/>
    <w:rsid w:val="0002173B"/>
    <w:rsid w:val="00022532"/>
    <w:rsid w:val="0002412B"/>
    <w:rsid w:val="00025E51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B6527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02C8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1C8B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2463"/>
    <w:rsid w:val="00166E56"/>
    <w:rsid w:val="0016715C"/>
    <w:rsid w:val="00172314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97970"/>
    <w:rsid w:val="001A23FC"/>
    <w:rsid w:val="001A4B1A"/>
    <w:rsid w:val="001B1076"/>
    <w:rsid w:val="001B6F02"/>
    <w:rsid w:val="001C417C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30A1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44608"/>
    <w:rsid w:val="0025311D"/>
    <w:rsid w:val="0025344D"/>
    <w:rsid w:val="0026160B"/>
    <w:rsid w:val="00262FAF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3D9E"/>
    <w:rsid w:val="00304E99"/>
    <w:rsid w:val="00310EFC"/>
    <w:rsid w:val="0031536C"/>
    <w:rsid w:val="00324A09"/>
    <w:rsid w:val="00330600"/>
    <w:rsid w:val="00330874"/>
    <w:rsid w:val="00331888"/>
    <w:rsid w:val="00331E47"/>
    <w:rsid w:val="00334E6A"/>
    <w:rsid w:val="00335919"/>
    <w:rsid w:val="00341F3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456A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3FC2"/>
    <w:rsid w:val="003A6874"/>
    <w:rsid w:val="003B6124"/>
    <w:rsid w:val="003B64D5"/>
    <w:rsid w:val="003C0695"/>
    <w:rsid w:val="003C18F3"/>
    <w:rsid w:val="003C3F8B"/>
    <w:rsid w:val="003C4D67"/>
    <w:rsid w:val="003C6657"/>
    <w:rsid w:val="003C6658"/>
    <w:rsid w:val="003D0DFA"/>
    <w:rsid w:val="003D2993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31F2"/>
    <w:rsid w:val="0040436A"/>
    <w:rsid w:val="004079BA"/>
    <w:rsid w:val="004104B0"/>
    <w:rsid w:val="004112B4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2810"/>
    <w:rsid w:val="004458D4"/>
    <w:rsid w:val="004515ED"/>
    <w:rsid w:val="00455D33"/>
    <w:rsid w:val="004571CE"/>
    <w:rsid w:val="00460E3B"/>
    <w:rsid w:val="004655D1"/>
    <w:rsid w:val="00466539"/>
    <w:rsid w:val="00471921"/>
    <w:rsid w:val="004720E6"/>
    <w:rsid w:val="00472B37"/>
    <w:rsid w:val="004734EF"/>
    <w:rsid w:val="00477CA9"/>
    <w:rsid w:val="00492F3D"/>
    <w:rsid w:val="004A1629"/>
    <w:rsid w:val="004A1B06"/>
    <w:rsid w:val="004A21F3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0DB8"/>
    <w:rsid w:val="004D2183"/>
    <w:rsid w:val="004D429B"/>
    <w:rsid w:val="004D5BFC"/>
    <w:rsid w:val="004D75AD"/>
    <w:rsid w:val="004D7D1A"/>
    <w:rsid w:val="004E2710"/>
    <w:rsid w:val="004E3D70"/>
    <w:rsid w:val="004E56B8"/>
    <w:rsid w:val="004E5E2B"/>
    <w:rsid w:val="004E7530"/>
    <w:rsid w:val="004F11BC"/>
    <w:rsid w:val="004F2D41"/>
    <w:rsid w:val="004F47AB"/>
    <w:rsid w:val="004F4D4F"/>
    <w:rsid w:val="004F78A5"/>
    <w:rsid w:val="00504463"/>
    <w:rsid w:val="00507415"/>
    <w:rsid w:val="00511B8D"/>
    <w:rsid w:val="005137E2"/>
    <w:rsid w:val="00513F99"/>
    <w:rsid w:val="00513FBB"/>
    <w:rsid w:val="00514ECD"/>
    <w:rsid w:val="005217AD"/>
    <w:rsid w:val="005220C3"/>
    <w:rsid w:val="00522AB7"/>
    <w:rsid w:val="005252BD"/>
    <w:rsid w:val="00531583"/>
    <w:rsid w:val="00531A61"/>
    <w:rsid w:val="00531B47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58B1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5E2F"/>
    <w:rsid w:val="00697DD6"/>
    <w:rsid w:val="006A00FC"/>
    <w:rsid w:val="006A4B12"/>
    <w:rsid w:val="006B0662"/>
    <w:rsid w:val="006B0A92"/>
    <w:rsid w:val="006B1440"/>
    <w:rsid w:val="006B5121"/>
    <w:rsid w:val="006B516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17292"/>
    <w:rsid w:val="007201C8"/>
    <w:rsid w:val="00720635"/>
    <w:rsid w:val="0072093E"/>
    <w:rsid w:val="00722BB3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878AD"/>
    <w:rsid w:val="00790C74"/>
    <w:rsid w:val="00796B99"/>
    <w:rsid w:val="007977BC"/>
    <w:rsid w:val="0079793D"/>
    <w:rsid w:val="00797CC4"/>
    <w:rsid w:val="007A2B5F"/>
    <w:rsid w:val="007A6D6D"/>
    <w:rsid w:val="007B1CD3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20D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50C58"/>
    <w:rsid w:val="008546D6"/>
    <w:rsid w:val="00862051"/>
    <w:rsid w:val="0086287E"/>
    <w:rsid w:val="0086393A"/>
    <w:rsid w:val="00866A14"/>
    <w:rsid w:val="008810A8"/>
    <w:rsid w:val="00884640"/>
    <w:rsid w:val="00884FF6"/>
    <w:rsid w:val="008857FF"/>
    <w:rsid w:val="00886D09"/>
    <w:rsid w:val="00890944"/>
    <w:rsid w:val="00893381"/>
    <w:rsid w:val="0089472C"/>
    <w:rsid w:val="00894915"/>
    <w:rsid w:val="008A182B"/>
    <w:rsid w:val="008A1891"/>
    <w:rsid w:val="008A2A54"/>
    <w:rsid w:val="008A33F3"/>
    <w:rsid w:val="008A6151"/>
    <w:rsid w:val="008A6783"/>
    <w:rsid w:val="008B0D6C"/>
    <w:rsid w:val="008B319E"/>
    <w:rsid w:val="008B6BA1"/>
    <w:rsid w:val="008C0E14"/>
    <w:rsid w:val="008C132D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59DE"/>
    <w:rsid w:val="009E70E4"/>
    <w:rsid w:val="009F0E98"/>
    <w:rsid w:val="009F11E8"/>
    <w:rsid w:val="009F2187"/>
    <w:rsid w:val="009F55FD"/>
    <w:rsid w:val="009F5F7F"/>
    <w:rsid w:val="00A00991"/>
    <w:rsid w:val="00A02287"/>
    <w:rsid w:val="00A04258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AFD"/>
    <w:rsid w:val="00A14EDE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0C"/>
    <w:rsid w:val="00A47578"/>
    <w:rsid w:val="00A50BA3"/>
    <w:rsid w:val="00A567A7"/>
    <w:rsid w:val="00A603B3"/>
    <w:rsid w:val="00A70308"/>
    <w:rsid w:val="00A705C3"/>
    <w:rsid w:val="00A70E36"/>
    <w:rsid w:val="00A73104"/>
    <w:rsid w:val="00A760EF"/>
    <w:rsid w:val="00A76E4E"/>
    <w:rsid w:val="00A90A32"/>
    <w:rsid w:val="00A96A17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2467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790E"/>
    <w:rsid w:val="00B27F7A"/>
    <w:rsid w:val="00B341BC"/>
    <w:rsid w:val="00B4035B"/>
    <w:rsid w:val="00B41D1B"/>
    <w:rsid w:val="00B42615"/>
    <w:rsid w:val="00B43353"/>
    <w:rsid w:val="00B455D5"/>
    <w:rsid w:val="00B501B2"/>
    <w:rsid w:val="00B56C04"/>
    <w:rsid w:val="00B66F1F"/>
    <w:rsid w:val="00B707BC"/>
    <w:rsid w:val="00B72AB1"/>
    <w:rsid w:val="00B74441"/>
    <w:rsid w:val="00B80CF4"/>
    <w:rsid w:val="00B82355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27B6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07BDC"/>
    <w:rsid w:val="00C14ADD"/>
    <w:rsid w:val="00C2120A"/>
    <w:rsid w:val="00C2297E"/>
    <w:rsid w:val="00C33DA1"/>
    <w:rsid w:val="00C35C07"/>
    <w:rsid w:val="00C35FC0"/>
    <w:rsid w:val="00C370C7"/>
    <w:rsid w:val="00C40089"/>
    <w:rsid w:val="00C40F92"/>
    <w:rsid w:val="00C42AEE"/>
    <w:rsid w:val="00C524DB"/>
    <w:rsid w:val="00C5349E"/>
    <w:rsid w:val="00C5485A"/>
    <w:rsid w:val="00C55FAC"/>
    <w:rsid w:val="00C574EF"/>
    <w:rsid w:val="00C5758B"/>
    <w:rsid w:val="00C72E09"/>
    <w:rsid w:val="00C74505"/>
    <w:rsid w:val="00C774A5"/>
    <w:rsid w:val="00C831B1"/>
    <w:rsid w:val="00C839CC"/>
    <w:rsid w:val="00C8406F"/>
    <w:rsid w:val="00C90008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1408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591C"/>
    <w:rsid w:val="00D869EA"/>
    <w:rsid w:val="00D87E96"/>
    <w:rsid w:val="00D922D1"/>
    <w:rsid w:val="00D9544E"/>
    <w:rsid w:val="00D95DD1"/>
    <w:rsid w:val="00D96361"/>
    <w:rsid w:val="00DA0124"/>
    <w:rsid w:val="00DA25B9"/>
    <w:rsid w:val="00DA442C"/>
    <w:rsid w:val="00DA692F"/>
    <w:rsid w:val="00DB0342"/>
    <w:rsid w:val="00DC0AB4"/>
    <w:rsid w:val="00DC2AC9"/>
    <w:rsid w:val="00DC46B2"/>
    <w:rsid w:val="00DC609E"/>
    <w:rsid w:val="00DC6C76"/>
    <w:rsid w:val="00DD179E"/>
    <w:rsid w:val="00DD6209"/>
    <w:rsid w:val="00DD70E7"/>
    <w:rsid w:val="00DE339E"/>
    <w:rsid w:val="00DE3C25"/>
    <w:rsid w:val="00DE5FBD"/>
    <w:rsid w:val="00DF0B37"/>
    <w:rsid w:val="00DF543D"/>
    <w:rsid w:val="00DF7204"/>
    <w:rsid w:val="00E03622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795B"/>
    <w:rsid w:val="00E80F2D"/>
    <w:rsid w:val="00E94180"/>
    <w:rsid w:val="00E96118"/>
    <w:rsid w:val="00E96B1C"/>
    <w:rsid w:val="00E96B69"/>
    <w:rsid w:val="00E96F2D"/>
    <w:rsid w:val="00E97D34"/>
    <w:rsid w:val="00EB1F42"/>
    <w:rsid w:val="00EB43BC"/>
    <w:rsid w:val="00EB6C2C"/>
    <w:rsid w:val="00EC03DE"/>
    <w:rsid w:val="00EC197D"/>
    <w:rsid w:val="00EC1C21"/>
    <w:rsid w:val="00EC220E"/>
    <w:rsid w:val="00EC2ED4"/>
    <w:rsid w:val="00EC70D0"/>
    <w:rsid w:val="00ED369C"/>
    <w:rsid w:val="00ED4195"/>
    <w:rsid w:val="00ED5518"/>
    <w:rsid w:val="00ED6775"/>
    <w:rsid w:val="00ED7053"/>
    <w:rsid w:val="00ED7144"/>
    <w:rsid w:val="00ED7E5F"/>
    <w:rsid w:val="00EE02FC"/>
    <w:rsid w:val="00EE327D"/>
    <w:rsid w:val="00EE3624"/>
    <w:rsid w:val="00EE6D87"/>
    <w:rsid w:val="00EF4C03"/>
    <w:rsid w:val="00EF7863"/>
    <w:rsid w:val="00F01B6A"/>
    <w:rsid w:val="00F01C33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42D3"/>
    <w:rsid w:val="00F175BE"/>
    <w:rsid w:val="00F20889"/>
    <w:rsid w:val="00F21194"/>
    <w:rsid w:val="00F22379"/>
    <w:rsid w:val="00F24481"/>
    <w:rsid w:val="00F26156"/>
    <w:rsid w:val="00F2795F"/>
    <w:rsid w:val="00F41551"/>
    <w:rsid w:val="00F41576"/>
    <w:rsid w:val="00F43906"/>
    <w:rsid w:val="00F456A9"/>
    <w:rsid w:val="00F45F93"/>
    <w:rsid w:val="00F46F16"/>
    <w:rsid w:val="00F510E4"/>
    <w:rsid w:val="00F5124D"/>
    <w:rsid w:val="00F52F3D"/>
    <w:rsid w:val="00F6645D"/>
    <w:rsid w:val="00F6646D"/>
    <w:rsid w:val="00F7398D"/>
    <w:rsid w:val="00F76FF6"/>
    <w:rsid w:val="00F773D3"/>
    <w:rsid w:val="00F77E91"/>
    <w:rsid w:val="00F85DE0"/>
    <w:rsid w:val="00F87817"/>
    <w:rsid w:val="00F920E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D5AE7"/>
  <w15:docId w15:val="{97186754-E934-4CD8-9ACC-199A487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188-7DDF-4292-B057-BD7C373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ALANI</cp:lastModifiedBy>
  <cp:revision>2</cp:revision>
  <cp:lastPrinted>2024-11-26T13:35:00Z</cp:lastPrinted>
  <dcterms:created xsi:type="dcterms:W3CDTF">2025-02-03T19:02:00Z</dcterms:created>
  <dcterms:modified xsi:type="dcterms:W3CDTF">2025-02-03T19:02:00Z</dcterms:modified>
</cp:coreProperties>
</file>