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4" w:rsidRPr="002C405E" w:rsidRDefault="00752FE4" w:rsidP="00752FE4">
      <w:pPr>
        <w:spacing w:line="240" w:lineRule="auto"/>
        <w:rPr>
          <w:rFonts w:ascii="Arial Black" w:hAnsi="Arial Black"/>
        </w:rPr>
      </w:pPr>
    </w:p>
    <w:p w:rsidR="00752FE4" w:rsidRPr="00E422D9" w:rsidRDefault="00752FE4" w:rsidP="00752FE4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752FE4" w:rsidRPr="00E422D9" w:rsidRDefault="00752FE4" w:rsidP="00752FE4">
      <w:pPr>
        <w:shd w:val="clear" w:color="auto" w:fill="FFFFFF"/>
        <w:spacing w:line="240" w:lineRule="auto"/>
        <w:ind w:left="2832" w:firstLine="708"/>
        <w:jc w:val="both"/>
        <w:rPr>
          <w:rFonts w:ascii="Arial" w:hAnsi="Arial" w:cs="Arial"/>
          <w:i/>
        </w:rPr>
      </w:pPr>
      <w:r w:rsidRPr="002C405E">
        <w:rPr>
          <w:rFonts w:ascii="Arial" w:hAnsi="Arial" w:cs="Arial"/>
          <w:i/>
        </w:rPr>
        <w:t xml:space="preserve">Requer ao Presidente da Assembleia Legislativa do Tocantins o envio de expediente ao Senhor </w:t>
      </w:r>
      <w:r w:rsidRPr="002C405E">
        <w:rPr>
          <w:rFonts w:ascii="Arial" w:eastAsia="Times New Roman" w:hAnsi="Arial" w:cs="Arial"/>
          <w:bCs/>
          <w:i/>
          <w:color w:val="000000"/>
          <w:lang w:eastAsia="pt-BR"/>
        </w:rPr>
        <w:t xml:space="preserve">Governador do </w:t>
      </w:r>
      <w:r w:rsidRPr="00752FE4">
        <w:rPr>
          <w:rFonts w:ascii="Arial" w:eastAsia="Times New Roman" w:hAnsi="Arial" w:cs="Arial"/>
          <w:bCs/>
          <w:i/>
          <w:color w:val="000000"/>
          <w:lang w:eastAsia="pt-BR"/>
        </w:rPr>
        <w:t>Tocantins</w:t>
      </w:r>
      <w:r w:rsidRPr="00752FE4">
        <w:rPr>
          <w:rFonts w:ascii="Arial" w:eastAsia="Times New Roman" w:hAnsi="Arial" w:cs="Arial"/>
          <w:i/>
          <w:color w:val="000000"/>
          <w:lang w:eastAsia="pt-BR"/>
        </w:rPr>
        <w:t xml:space="preserve">, </w:t>
      </w:r>
      <w:r w:rsidRPr="00752FE4">
        <w:rPr>
          <w:rFonts w:ascii="Arial" w:hAnsi="Arial" w:cs="Arial"/>
          <w:i/>
          <w:color w:val="000000"/>
          <w:shd w:val="clear" w:color="auto" w:fill="FFFFFF"/>
        </w:rPr>
        <w:t>com cópia à Secretaria de Estado da Saúde, solicitando a implementação imediata do pagamento de adicional de insalubridade em grau máximo (40%) aos maqueiros e profissionais de higienização dos hospitais da rede estadual.</w:t>
      </w:r>
    </w:p>
    <w:p w:rsidR="00752FE4" w:rsidRDefault="00752FE4" w:rsidP="00752FE4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422D9">
        <w:rPr>
          <w:rFonts w:ascii="Arial" w:hAnsi="Arial" w:cs="Arial"/>
        </w:rPr>
        <w:t xml:space="preserve">O Deputado que o presente subscreve vem nos termos regimentais desta Augusta Casa de Leis, </w:t>
      </w:r>
      <w:r w:rsidRPr="002C405E">
        <w:rPr>
          <w:rFonts w:ascii="Arial" w:hAnsi="Arial" w:cs="Arial"/>
        </w:rPr>
        <w:t xml:space="preserve">após </w:t>
      </w:r>
      <w:r w:rsidRPr="00752FE4">
        <w:rPr>
          <w:rFonts w:ascii="Arial" w:hAnsi="Arial" w:cs="Arial"/>
        </w:rPr>
        <w:t xml:space="preserve">anuência do Plenário vem requerer a Vossa Excelência o envio de expediente ao Senhor </w:t>
      </w:r>
      <w:r w:rsidRPr="00752FE4">
        <w:rPr>
          <w:rFonts w:ascii="Arial" w:eastAsia="Times New Roman" w:hAnsi="Arial" w:cs="Arial"/>
          <w:bCs/>
          <w:color w:val="000000"/>
          <w:lang w:eastAsia="pt-BR"/>
        </w:rPr>
        <w:t>Governador do Tocantins</w:t>
      </w:r>
      <w:r w:rsidRPr="00752FE4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752FE4">
        <w:rPr>
          <w:rFonts w:ascii="Arial" w:hAnsi="Arial" w:cs="Arial"/>
          <w:color w:val="000000"/>
          <w:shd w:val="clear" w:color="auto" w:fill="FFFFFF"/>
        </w:rPr>
        <w:t>com cópia à Secretaria de Estado da Saúde, solicitando a implementação imediata do pagamento de adicional de insalubridade em grau máximo (40%) aos maqueiros e profissionais de higienização dos hospitais da rede estadual.</w:t>
      </w:r>
    </w:p>
    <w:p w:rsidR="00752FE4" w:rsidRPr="00752FE4" w:rsidRDefault="00752FE4" w:rsidP="00752FE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752FE4" w:rsidRPr="00E422D9" w:rsidRDefault="00752FE4" w:rsidP="00752FE4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752FE4" w:rsidRPr="00752FE4" w:rsidRDefault="00752FE4" w:rsidP="00752FE4">
      <w:p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O presente requerimento fundamenta-se no direito constitucional e legal dos profissionais mencionados ao recebimento do adicional de insalubridade em grau máximo, com base nos seguintes pontos:</w:t>
      </w:r>
    </w:p>
    <w:p w:rsidR="00752FE4" w:rsidRPr="00752FE4" w:rsidRDefault="00752FE4" w:rsidP="00752FE4">
      <w:pPr>
        <w:shd w:val="clear" w:color="auto" w:fill="FFFFFF"/>
        <w:spacing w:after="122" w:line="240" w:lineRule="auto"/>
        <w:rPr>
          <w:rFonts w:ascii="Arial" w:eastAsia="Times New Roman" w:hAnsi="Arial" w:cs="Arial"/>
          <w:color w:val="222222"/>
          <w:lang w:eastAsia="pt-BR"/>
        </w:rPr>
      </w:pP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Fundamento Constitucional: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O artigo 7º, inciso XXIII, da Constituição Federal assegura “adicional de remuneração para as atividades penosas, insalubres ou perigosas, na forma da lei”.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Legislação Estadual Específica: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A Lei nº 4.249/2023, do Estado do Tocantins, em seu artigo 33-A, assegura o adicional aos servidores que atuam em locais ou atividades insalubres, com previsão expressa de 40% para grau máximo.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Norma Regulamentadora Federal (NR-15):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O Anexo XIV da NR-15 classifica como insalubres em grau máximo as atividades com exposição direta a agentes biológicos, como ocorre com os maqueiros e profissionais de higienização hospitalar.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Caracterização da Atividade Insalubre:</w:t>
      </w:r>
    </w:p>
    <w:p w:rsidR="00752FE4" w:rsidRPr="00752FE4" w:rsidRDefault="00752FE4" w:rsidP="00752FE4">
      <w:pPr>
        <w:numPr>
          <w:ilvl w:val="1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Maqueiros: contato direto com pacientes portadores de doenças infectocontagiosas, fluídos corporais e materiais contaminados.</w:t>
      </w:r>
    </w:p>
    <w:p w:rsidR="00752FE4" w:rsidRPr="00752FE4" w:rsidRDefault="00752FE4" w:rsidP="00752FE4">
      <w:pPr>
        <w:numPr>
          <w:ilvl w:val="1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lastRenderedPageBreak/>
        <w:t>Profissionais de higienização: manuseio de resíduos infectantes, sangue, fluidos corporais e objetos não esterilizados.</w:t>
      </w:r>
    </w:p>
    <w:p w:rsidR="00752FE4" w:rsidRPr="00752FE4" w:rsidRDefault="00752FE4" w:rsidP="00752F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Jurisprudência Consolidada: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O Tribunal Superior do Trabalho (TST) tem entendimento pacífico sobre a concessão do adicional em grau máximo para profissionais expostos a agentes biológicos em ambiente hospitalar.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Precedentes em Outros Estados: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Há exemplos consolidados de estados que já asseguram o pagamento do adicional em grau máximo para estas categorias.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Princípio da Isonomia: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Se outros profissionais da saúde recebem o adicional, não há justificativa legal ou técnica para excluir essas categorias.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Obrigação Legal do Estado: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O não pagamento do adicional caracteriza descumprimento da Constituição, da legislação estadual e das normas trabalhistas vigentes.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Valorização dos Profissionais Essenciais: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A pandemia de COVID-19 evidenciou os riscos enfrentados por esses profissionais, que precisam ser reconhecidos e valorizados.</w:t>
      </w:r>
    </w:p>
    <w:p w:rsidR="00752FE4" w:rsidRPr="00752FE4" w:rsidRDefault="00752FE4" w:rsidP="00752FE4">
      <w:pPr>
        <w:numPr>
          <w:ilvl w:val="0"/>
          <w:numId w:val="1"/>
        </w:num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Viabilidade Orçamentária:</w:t>
      </w:r>
      <w:r w:rsidRPr="00752FE4">
        <w:rPr>
          <w:rFonts w:ascii="Arial" w:eastAsia="Times New Roman" w:hAnsi="Arial" w:cs="Arial"/>
          <w:color w:val="000000"/>
          <w:lang w:eastAsia="pt-BR"/>
        </w:rPr>
        <w:br/>
        <w:t>Trata-se de um direito adquirido e legalmente devido, cuja execução não está condicionada à existência de dotação orçamentária específica.</w:t>
      </w:r>
    </w:p>
    <w:p w:rsidR="00752FE4" w:rsidRPr="00752FE4" w:rsidRDefault="00752FE4" w:rsidP="00752FE4">
      <w:pPr>
        <w:shd w:val="clear" w:color="auto" w:fill="FFFFFF"/>
        <w:spacing w:after="122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Diante de todo o exposto, resta demonstrado o direito líquido e certo dos maqueiros e profissionais de higienização dos hospitais estaduais ao recebimento do adicional de insalubridade em grau máximo (40%), nos termos:</w:t>
      </w:r>
    </w:p>
    <w:p w:rsidR="00752FE4" w:rsidRPr="00752FE4" w:rsidRDefault="00752FE4" w:rsidP="00752FE4">
      <w:pPr>
        <w:numPr>
          <w:ilvl w:val="0"/>
          <w:numId w:val="2"/>
        </w:numPr>
        <w:shd w:val="clear" w:color="auto" w:fill="FFFFFF"/>
        <w:spacing w:after="122" w:line="240" w:lineRule="auto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Da Constituição Federal (art. 7º, XXIII);</w:t>
      </w:r>
    </w:p>
    <w:p w:rsidR="00752FE4" w:rsidRPr="00752FE4" w:rsidRDefault="00752FE4" w:rsidP="00752FE4">
      <w:pPr>
        <w:numPr>
          <w:ilvl w:val="0"/>
          <w:numId w:val="2"/>
        </w:numPr>
        <w:shd w:val="clear" w:color="auto" w:fill="FFFFFF"/>
        <w:spacing w:after="122" w:line="240" w:lineRule="auto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Da Lei Estadual nº 4.249/2023 (art. 33-A, §3º, III);</w:t>
      </w:r>
    </w:p>
    <w:p w:rsidR="00752FE4" w:rsidRPr="00752FE4" w:rsidRDefault="00752FE4" w:rsidP="00752FE4">
      <w:pPr>
        <w:numPr>
          <w:ilvl w:val="0"/>
          <w:numId w:val="2"/>
        </w:numPr>
        <w:shd w:val="clear" w:color="auto" w:fill="FFFFFF"/>
        <w:spacing w:after="122" w:line="240" w:lineRule="auto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Da NR-15, Anexo XIV;</w:t>
      </w:r>
    </w:p>
    <w:p w:rsidR="00752FE4" w:rsidRPr="00752FE4" w:rsidRDefault="00752FE4" w:rsidP="00752FE4">
      <w:pPr>
        <w:numPr>
          <w:ilvl w:val="0"/>
          <w:numId w:val="2"/>
        </w:numPr>
        <w:shd w:val="clear" w:color="auto" w:fill="FFFFFF"/>
        <w:spacing w:after="122" w:line="240" w:lineRule="auto"/>
        <w:rPr>
          <w:rFonts w:ascii="Arial" w:eastAsia="Times New Roman" w:hAnsi="Arial" w:cs="Arial"/>
          <w:color w:val="000000"/>
          <w:lang w:eastAsia="pt-BR"/>
        </w:rPr>
      </w:pPr>
      <w:r w:rsidRPr="00752FE4">
        <w:rPr>
          <w:rFonts w:ascii="Arial" w:eastAsia="Times New Roman" w:hAnsi="Arial" w:cs="Arial"/>
          <w:color w:val="000000"/>
          <w:lang w:eastAsia="pt-BR"/>
        </w:rPr>
        <w:t>Da jurisprudência consolidada nos Tribunais Superiores.</w:t>
      </w:r>
    </w:p>
    <w:p w:rsidR="00752FE4" w:rsidRPr="00752FE4" w:rsidRDefault="00752FE4" w:rsidP="00752FE4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52FE4" w:rsidRPr="00752FE4" w:rsidRDefault="00752FE4" w:rsidP="00752FE4">
      <w:pPr>
        <w:jc w:val="center"/>
        <w:rPr>
          <w:rFonts w:ascii="Arial" w:hAnsi="Arial" w:cs="Arial"/>
          <w:b/>
        </w:rPr>
      </w:pPr>
    </w:p>
    <w:p w:rsidR="00752FE4" w:rsidRPr="00E422D9" w:rsidRDefault="00752FE4" w:rsidP="00752FE4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C54AB" w:rsidRPr="00752FE4" w:rsidRDefault="00752FE4" w:rsidP="00752FE4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EC54AB" w:rsidRPr="00752FE4" w:rsidSect="00421E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A86" w:rsidRDefault="00C32A86" w:rsidP="00752FE4">
      <w:pPr>
        <w:spacing w:after="0" w:line="240" w:lineRule="auto"/>
      </w:pPr>
      <w:r>
        <w:separator/>
      </w:r>
    </w:p>
  </w:endnote>
  <w:endnote w:type="continuationSeparator" w:id="1">
    <w:p w:rsidR="00C32A86" w:rsidRDefault="00C32A86" w:rsidP="0075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A86" w:rsidRDefault="00C32A86" w:rsidP="00752FE4">
      <w:pPr>
        <w:spacing w:after="0" w:line="240" w:lineRule="auto"/>
      </w:pPr>
      <w:r>
        <w:separator/>
      </w:r>
    </w:p>
  </w:footnote>
  <w:footnote w:type="continuationSeparator" w:id="1">
    <w:p w:rsidR="00C32A86" w:rsidRDefault="00C32A86" w:rsidP="0075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E4" w:rsidRPr="00375362" w:rsidRDefault="00752FE4" w:rsidP="00752FE4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2FE4" w:rsidRDefault="00752FE4" w:rsidP="00752FE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752FE4" w:rsidRDefault="00752FE4" w:rsidP="00752FE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752FE4" w:rsidRDefault="00752FE4">
    <w:pPr>
      <w:pStyle w:val="Cabealho"/>
    </w:pPr>
  </w:p>
  <w:p w:rsidR="00752FE4" w:rsidRDefault="00752F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AD3"/>
    <w:multiLevelType w:val="multilevel"/>
    <w:tmpl w:val="F7B8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5125E6"/>
    <w:multiLevelType w:val="multilevel"/>
    <w:tmpl w:val="4D3A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FE4"/>
    <w:rsid w:val="00752FE4"/>
    <w:rsid w:val="00C32A86"/>
    <w:rsid w:val="00EC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F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2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FE4"/>
  </w:style>
  <w:style w:type="paragraph" w:styleId="Rodap">
    <w:name w:val="footer"/>
    <w:basedOn w:val="Normal"/>
    <w:link w:val="RodapChar"/>
    <w:uiPriority w:val="99"/>
    <w:semiHidden/>
    <w:unhideWhenUsed/>
    <w:rsid w:val="00752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2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2025-06-11T13:01:00Z</cp:lastPrinted>
  <dcterms:created xsi:type="dcterms:W3CDTF">2025-06-11T12:57:00Z</dcterms:created>
  <dcterms:modified xsi:type="dcterms:W3CDTF">2025-06-11T13:01:00Z</dcterms:modified>
</cp:coreProperties>
</file>