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31C89EDF" w:rsidR="00DF03BA" w:rsidRDefault="003A4D63" w:rsidP="00845D8C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67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3A4D63">
        <w:rPr>
          <w:rFonts w:ascii="Segoe UI" w:hAnsi="Segoe UI" w:cs="Segoe UI"/>
          <w:sz w:val="24"/>
          <w:szCs w:val="24"/>
          <w:shd w:val="clear" w:color="auto" w:fill="FFFFFF"/>
        </w:rPr>
        <w:t>Dispõe sobre a proteção do consumidor contra práticas abusivas durante eventos promocionais como a "Black Friday", estabelecendo sanções administrativas, sem prejuízo das responsabilidades civis e criminais cabíveis</w:t>
      </w:r>
      <w:r w:rsidR="00DF03BA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102E56E4" w14:textId="7599A945" w:rsidR="00DF03BA" w:rsidRDefault="0082020D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3A4D63" w:rsidRPr="003A4D63">
        <w:rPr>
          <w:rFonts w:ascii="Segoe UI" w:hAnsi="Segoe UI" w:cs="Segoe UI"/>
          <w:sz w:val="24"/>
          <w:szCs w:val="24"/>
        </w:rPr>
        <w:t>Esta Lei tem por objetivo coibir e punir práticas abusivas que lesem os direitos dos consumidores durante eventos promocionais, como a "Black Friday" e datas similares, realizados por estabelecimentos comerciais e prestadores de serviços, físicos ou online, que atuem no Estado d</w:t>
      </w:r>
      <w:r w:rsidR="003A4D63">
        <w:rPr>
          <w:rFonts w:ascii="Segoe UI" w:hAnsi="Segoe UI" w:cs="Segoe UI"/>
          <w:sz w:val="24"/>
          <w:szCs w:val="24"/>
        </w:rPr>
        <w:t>o Tocantins</w:t>
      </w:r>
      <w:r w:rsidR="00820765" w:rsidRPr="00820765">
        <w:rPr>
          <w:rFonts w:ascii="Segoe UI" w:hAnsi="Segoe UI" w:cs="Segoe UI"/>
          <w:sz w:val="24"/>
          <w:szCs w:val="24"/>
        </w:rPr>
        <w:t>.</w:t>
      </w:r>
    </w:p>
    <w:p w14:paraId="5F34B8BF" w14:textId="77777777" w:rsidR="003A4D63" w:rsidRDefault="007B3F07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3A4D63" w:rsidRPr="003A4D63">
        <w:rPr>
          <w:rFonts w:ascii="Segoe UI" w:hAnsi="Segoe UI" w:cs="Segoe UI"/>
          <w:sz w:val="24"/>
          <w:szCs w:val="24"/>
        </w:rPr>
        <w:t>Consideram-se práticas abusivas, para os fins desta Lei, sem prejuízo de outras tipificadas no Código de Defesa do Consumidor (Lei Federal nº 8.078, de 11 de setembro de 1990) e legislação correlata:</w:t>
      </w:r>
    </w:p>
    <w:p w14:paraId="1BE47915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 I – </w:t>
      </w:r>
      <w:proofErr w:type="gramStart"/>
      <w:r>
        <w:rPr>
          <w:rFonts w:ascii="Segoe UI" w:hAnsi="Segoe UI" w:cs="Segoe UI"/>
          <w:sz w:val="24"/>
          <w:szCs w:val="24"/>
        </w:rPr>
        <w:t>a</w:t>
      </w:r>
      <w:proofErr w:type="gramEnd"/>
      <w:r w:rsidRPr="003A4D63">
        <w:rPr>
          <w:rFonts w:ascii="Segoe UI" w:hAnsi="Segoe UI" w:cs="Segoe UI"/>
          <w:sz w:val="24"/>
          <w:szCs w:val="24"/>
        </w:rPr>
        <w:t xml:space="preserve"> "maquiagem de preços", consistente na elevação artificial do preço de produtos ou serviços nos meses, dias ou semanas anteriores a um período promocional, com o intuito de mascarar o valor real do produto, ludibriando o consumidor e induzindo-o a erro, fazendo parecer que o desconto oferecido no evento é maior do que realmente é. </w:t>
      </w:r>
    </w:p>
    <w:p w14:paraId="36239847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="00845D8C">
        <w:rPr>
          <w:rFonts w:ascii="Segoe UI" w:hAnsi="Segoe UI" w:cs="Segoe UI"/>
          <w:sz w:val="24"/>
          <w:szCs w:val="24"/>
        </w:rPr>
        <w:t>a</w:t>
      </w:r>
      <w:proofErr w:type="gramEnd"/>
      <w:r w:rsidRPr="003A4D63">
        <w:rPr>
          <w:rFonts w:ascii="Segoe UI" w:hAnsi="Segoe UI" w:cs="Segoe UI"/>
          <w:sz w:val="24"/>
          <w:szCs w:val="24"/>
        </w:rPr>
        <w:t xml:space="preserve"> publicidade enganosa, por omissão ou com informações falsas ou insuficientes sobre as características, qualidades, quantidade, composição, preço, garantia, prazos de validade, origem, bem como sobre os riscos que apresentem à saúde e segurança dos consumidores.</w:t>
      </w:r>
    </w:p>
    <w:p w14:paraId="7C14120C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 III – </w:t>
      </w:r>
      <w:r w:rsidR="00845D8C">
        <w:rPr>
          <w:rFonts w:ascii="Segoe UI" w:hAnsi="Segoe UI" w:cs="Segoe UI"/>
          <w:sz w:val="24"/>
          <w:szCs w:val="24"/>
        </w:rPr>
        <w:t>a</w:t>
      </w:r>
      <w:r w:rsidRPr="003A4D63">
        <w:rPr>
          <w:rFonts w:ascii="Segoe UI" w:hAnsi="Segoe UI" w:cs="Segoe UI"/>
          <w:sz w:val="24"/>
          <w:szCs w:val="24"/>
        </w:rPr>
        <w:t xml:space="preserve"> divergência entre o preço anunciado e o preço efetivamente cobrado ao consumidor no momento da finalização da compra, seja no ambiente físico ou digital. </w:t>
      </w:r>
    </w:p>
    <w:p w14:paraId="6727D7E3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IV – </w:t>
      </w:r>
      <w:proofErr w:type="gramStart"/>
      <w:r w:rsidR="00845D8C">
        <w:rPr>
          <w:rFonts w:ascii="Segoe UI" w:hAnsi="Segoe UI" w:cs="Segoe UI"/>
          <w:sz w:val="24"/>
          <w:szCs w:val="24"/>
        </w:rPr>
        <w:t>a</w:t>
      </w:r>
      <w:proofErr w:type="gramEnd"/>
      <w:r w:rsidRPr="003A4D63">
        <w:rPr>
          <w:rFonts w:ascii="Segoe UI" w:hAnsi="Segoe UI" w:cs="Segoe UI"/>
          <w:sz w:val="24"/>
          <w:szCs w:val="24"/>
        </w:rPr>
        <w:t xml:space="preserve"> oferta de produtos ou serviços com suposto desconto, que, no entanto, não possuam estoque suficiente para atender à demanda esperada ou que </w:t>
      </w:r>
      <w:r w:rsidRPr="003A4D63">
        <w:rPr>
          <w:rFonts w:ascii="Segoe UI" w:hAnsi="Segoe UI" w:cs="Segoe UI"/>
          <w:sz w:val="24"/>
          <w:szCs w:val="24"/>
        </w:rPr>
        <w:lastRenderedPageBreak/>
        <w:t xml:space="preserve">se tornem indisponíveis de forma injustificada. </w:t>
      </w:r>
    </w:p>
    <w:p w14:paraId="34FF04C7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V – </w:t>
      </w:r>
      <w:proofErr w:type="gramStart"/>
      <w:r w:rsidR="00845D8C">
        <w:rPr>
          <w:rFonts w:ascii="Segoe UI" w:hAnsi="Segoe UI" w:cs="Segoe UI"/>
          <w:sz w:val="24"/>
          <w:szCs w:val="24"/>
        </w:rPr>
        <w:t>o</w:t>
      </w:r>
      <w:proofErr w:type="gramEnd"/>
      <w:r w:rsidRPr="003A4D63">
        <w:rPr>
          <w:rFonts w:ascii="Segoe UI" w:hAnsi="Segoe UI" w:cs="Segoe UI"/>
          <w:sz w:val="24"/>
          <w:szCs w:val="24"/>
        </w:rPr>
        <w:t xml:space="preserve"> cancelamento unilateral e injustificado de compras já finalizadas pelo consumidor, com alegação de erro no preço ou falta de estoque, após a confirmação do pagamento. </w:t>
      </w:r>
    </w:p>
    <w:p w14:paraId="132A7C7D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VI – </w:t>
      </w:r>
      <w:proofErr w:type="gramStart"/>
      <w:r w:rsidR="00845D8C">
        <w:rPr>
          <w:rFonts w:ascii="Segoe UI" w:hAnsi="Segoe UI" w:cs="Segoe UI"/>
          <w:sz w:val="24"/>
          <w:szCs w:val="24"/>
        </w:rPr>
        <w:t>a</w:t>
      </w:r>
      <w:proofErr w:type="gramEnd"/>
      <w:r w:rsidRPr="003A4D63">
        <w:rPr>
          <w:rFonts w:ascii="Segoe UI" w:hAnsi="Segoe UI" w:cs="Segoe UI"/>
          <w:sz w:val="24"/>
          <w:szCs w:val="24"/>
        </w:rPr>
        <w:t xml:space="preserve"> omissão ou dificuldade de acesso a informações claras, precisas e ostensivas sobre as condições de pagamento, frete, prazos de entrega, política de troca e devolução, e o direito de arrependimento previsto no artigo 49 do Código de Defesa do Consumidor. </w:t>
      </w:r>
    </w:p>
    <w:p w14:paraId="3B331B50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VII – </w:t>
      </w:r>
      <w:r w:rsidR="00845D8C">
        <w:rPr>
          <w:rFonts w:ascii="Segoe UI" w:hAnsi="Segoe UI" w:cs="Segoe UI"/>
          <w:sz w:val="24"/>
          <w:szCs w:val="24"/>
        </w:rPr>
        <w:t>q</w:t>
      </w:r>
      <w:r w:rsidRPr="003A4D63">
        <w:rPr>
          <w:rFonts w:ascii="Segoe UI" w:hAnsi="Segoe UI" w:cs="Segoe UI"/>
          <w:sz w:val="24"/>
          <w:szCs w:val="24"/>
        </w:rPr>
        <w:t xml:space="preserve">uaisquer outras condutas que caracterizem propaganda enganosa ou abusiva, nos termos do artigo 37 do Código de Defesa do Consumidor. </w:t>
      </w:r>
    </w:p>
    <w:p w14:paraId="0BBC69C5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Art. 3º</w:t>
      </w:r>
      <w:r w:rsidRPr="003A4D63">
        <w:rPr>
          <w:rFonts w:ascii="Segoe UI" w:hAnsi="Segoe UI" w:cs="Segoe UI"/>
          <w:sz w:val="24"/>
          <w:szCs w:val="24"/>
        </w:rPr>
        <w:t xml:space="preserve"> Para fins de fiscalização e garantia da transparência, os fornecedores deverão manter, pelo prazo mínimo de 90 (noventa) dias, o histórico dos preços praticados nos 60 (sessenta) dias anteriores à data de início de qualquer oferta ou evento promocional. </w:t>
      </w:r>
    </w:p>
    <w:p w14:paraId="63C1EF83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Parágrafo único</w:t>
      </w:r>
      <w:r w:rsidRPr="003A4D63">
        <w:rPr>
          <w:rFonts w:ascii="Segoe UI" w:hAnsi="Segoe UI" w:cs="Segoe UI"/>
          <w:sz w:val="24"/>
          <w:szCs w:val="24"/>
        </w:rPr>
        <w:t>. O histórico de preços de que trata o caput deverá ser disponibilizado ao consumidor ou aos órgãos de defesa do consumidor sempre que solicitado, em formato claro e de fácil compreensão.</w:t>
      </w:r>
    </w:p>
    <w:p w14:paraId="1E8F6DD6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 </w:t>
      </w:r>
      <w:r w:rsidRPr="00845D8C">
        <w:rPr>
          <w:rFonts w:ascii="Segoe UI" w:hAnsi="Segoe UI" w:cs="Segoe UI"/>
          <w:b/>
          <w:bCs/>
          <w:sz w:val="24"/>
          <w:szCs w:val="24"/>
        </w:rPr>
        <w:t>Art. 4º</w:t>
      </w:r>
      <w:r w:rsidRPr="003A4D63">
        <w:rPr>
          <w:rFonts w:ascii="Segoe UI" w:hAnsi="Segoe UI" w:cs="Segoe UI"/>
          <w:sz w:val="24"/>
          <w:szCs w:val="24"/>
        </w:rPr>
        <w:t xml:space="preserve"> É obrigatória a divulgação, em qualquer anúncio de promoção de produtos ou serviços, da seguinte informação, de forma clara, ostensiva e de fácil acesso ao consumidor: </w:t>
      </w:r>
    </w:p>
    <w:p w14:paraId="492411EB" w14:textId="77777777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I </w:t>
      </w:r>
      <w:r w:rsidR="00845D8C">
        <w:rPr>
          <w:rFonts w:ascii="Segoe UI" w:hAnsi="Segoe UI" w:cs="Segoe UI"/>
          <w:sz w:val="24"/>
          <w:szCs w:val="24"/>
        </w:rPr>
        <w:t>-</w:t>
      </w:r>
      <w:r w:rsidRPr="003A4D63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3A4D63">
        <w:rPr>
          <w:rFonts w:ascii="Segoe UI" w:hAnsi="Segoe UI" w:cs="Segoe UI"/>
          <w:sz w:val="24"/>
          <w:szCs w:val="24"/>
        </w:rPr>
        <w:t>o</w:t>
      </w:r>
      <w:proofErr w:type="gramEnd"/>
      <w:r w:rsidRPr="003A4D63">
        <w:rPr>
          <w:rFonts w:ascii="Segoe UI" w:hAnsi="Segoe UI" w:cs="Segoe UI"/>
          <w:sz w:val="24"/>
          <w:szCs w:val="24"/>
        </w:rPr>
        <w:t xml:space="preserve"> preço anteriormente praticado para o produto ou serviço, considerando-se o menor preço cobrado nos 60 (sessenta) dias anteriores à promoção; </w:t>
      </w:r>
    </w:p>
    <w:p w14:paraId="7AA447A5" w14:textId="49AE9201" w:rsidR="00845D8C" w:rsidRDefault="003A4D63" w:rsidP="003A4D6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A4D63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3A4D63">
        <w:rPr>
          <w:rFonts w:ascii="Segoe UI" w:hAnsi="Segoe UI" w:cs="Segoe UI"/>
          <w:sz w:val="24"/>
          <w:szCs w:val="24"/>
        </w:rPr>
        <w:t>o</w:t>
      </w:r>
      <w:proofErr w:type="gramEnd"/>
      <w:r w:rsidRPr="003A4D63">
        <w:rPr>
          <w:rFonts w:ascii="Segoe UI" w:hAnsi="Segoe UI" w:cs="Segoe UI"/>
          <w:sz w:val="24"/>
          <w:szCs w:val="24"/>
        </w:rPr>
        <w:t xml:space="preserve"> preço atual promocional; </w:t>
      </w:r>
    </w:p>
    <w:p w14:paraId="27E270AB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III – o percentual real de desconto, calculado com base no preço anteriormente praticado. </w:t>
      </w:r>
    </w:p>
    <w:p w14:paraId="3859F98B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 xml:space="preserve">Art. 5º </w:t>
      </w:r>
      <w:r w:rsidRPr="00845D8C">
        <w:rPr>
          <w:rFonts w:ascii="Segoe UI" w:hAnsi="Segoe UI" w:cs="Segoe UI"/>
          <w:sz w:val="24"/>
          <w:szCs w:val="24"/>
        </w:rPr>
        <w:t xml:space="preserve">O fornecedor ficará obrigado a cumprir integralmente a oferta, ainda que o preço divulgado esteja muito abaixo do valor médio de mercado, quando comprovado que a publicidade foi veiculada de forma dolosa ou com o objetivo de </w:t>
      </w:r>
      <w:r w:rsidRPr="00845D8C">
        <w:rPr>
          <w:rFonts w:ascii="Segoe UI" w:hAnsi="Segoe UI" w:cs="Segoe UI"/>
          <w:sz w:val="24"/>
          <w:szCs w:val="24"/>
        </w:rPr>
        <w:lastRenderedPageBreak/>
        <w:t xml:space="preserve">atrair consumidores ao estabelecimento físico ou digital, sendo vedada a alegação de erro grosseiro ou erro de divulgação nestas hipóteses. </w:t>
      </w:r>
    </w:p>
    <w:p w14:paraId="6972629A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§ 1º</w:t>
      </w:r>
      <w:r w:rsidRPr="00845D8C">
        <w:rPr>
          <w:rFonts w:ascii="Segoe UI" w:hAnsi="Segoe UI" w:cs="Segoe UI"/>
          <w:sz w:val="24"/>
          <w:szCs w:val="24"/>
        </w:rPr>
        <w:t xml:space="preserve"> Considera-se conduta dolosa, para fins deste artigo, a publicidade ou oferta em que: I</w:t>
      </w:r>
    </w:p>
    <w:p w14:paraId="290A6A9F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– </w:t>
      </w:r>
      <w:proofErr w:type="gramStart"/>
      <w:r w:rsidRPr="00845D8C">
        <w:rPr>
          <w:rFonts w:ascii="Segoe UI" w:hAnsi="Segoe UI" w:cs="Segoe UI"/>
          <w:sz w:val="24"/>
          <w:szCs w:val="24"/>
        </w:rPr>
        <w:t>haja</w:t>
      </w:r>
      <w:proofErr w:type="gramEnd"/>
      <w:r w:rsidRPr="00845D8C">
        <w:rPr>
          <w:rFonts w:ascii="Segoe UI" w:hAnsi="Segoe UI" w:cs="Segoe UI"/>
          <w:sz w:val="24"/>
          <w:szCs w:val="24"/>
        </w:rPr>
        <w:t xml:space="preserve"> manipulação prévia do preço;</w:t>
      </w:r>
    </w:p>
    <w:p w14:paraId="677A454A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II – </w:t>
      </w:r>
      <w:proofErr w:type="gramStart"/>
      <w:r w:rsidRPr="00845D8C">
        <w:rPr>
          <w:rFonts w:ascii="Segoe UI" w:hAnsi="Segoe UI" w:cs="Segoe UI"/>
          <w:sz w:val="24"/>
          <w:szCs w:val="24"/>
        </w:rPr>
        <w:t>o</w:t>
      </w:r>
      <w:proofErr w:type="gramEnd"/>
      <w:r w:rsidRPr="00845D8C">
        <w:rPr>
          <w:rFonts w:ascii="Segoe UI" w:hAnsi="Segoe UI" w:cs="Segoe UI"/>
          <w:sz w:val="24"/>
          <w:szCs w:val="24"/>
        </w:rPr>
        <w:t xml:space="preserve"> fornecedor utilize anúncios chamativos com valores incompatíveis com a realidade, visando apenas atrair fluxo de consumidores;</w:t>
      </w:r>
    </w:p>
    <w:p w14:paraId="0262C5BE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III – a discrepância de preço seja parte de estratégia comercial destinada a induzir o consumidor a comparecer ao estabelecimento ou acessar a plataforma digital. </w:t>
      </w:r>
    </w:p>
    <w:p w14:paraId="597881BF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§ 2º</w:t>
      </w:r>
      <w:r w:rsidRPr="00845D8C">
        <w:rPr>
          <w:rFonts w:ascii="Segoe UI" w:hAnsi="Segoe UI" w:cs="Segoe UI"/>
          <w:sz w:val="24"/>
          <w:szCs w:val="24"/>
        </w:rPr>
        <w:t xml:space="preserve"> Verificada a conduta dolosa, o fornecedor deverá honrar o valor anunciado, responder por perdas e danos e ficará sujeito às penalidades previstas nesta Lei e no Código de Defesa do Consumidor.</w:t>
      </w:r>
    </w:p>
    <w:p w14:paraId="16F3E0E0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</w:t>
      </w:r>
      <w:r w:rsidRPr="00845D8C">
        <w:rPr>
          <w:rFonts w:ascii="Segoe UI" w:hAnsi="Segoe UI" w:cs="Segoe UI"/>
          <w:b/>
          <w:bCs/>
          <w:sz w:val="24"/>
          <w:szCs w:val="24"/>
        </w:rPr>
        <w:t>Art. 6º</w:t>
      </w:r>
      <w:r w:rsidRPr="00845D8C">
        <w:rPr>
          <w:rFonts w:ascii="Segoe UI" w:hAnsi="Segoe UI" w:cs="Segoe UI"/>
          <w:sz w:val="24"/>
          <w:szCs w:val="24"/>
        </w:rPr>
        <w:t xml:space="preserve"> Quando a prática abusiva ou oferta enganosa atingir um número indeterminado ou indeterminado de consumidores, caracterizando dano de natureza coletiva, poderão atuar para a tutela dos direitos violados: </w:t>
      </w:r>
    </w:p>
    <w:p w14:paraId="0B7ECA68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845D8C">
        <w:rPr>
          <w:rFonts w:ascii="Segoe UI" w:hAnsi="Segoe UI" w:cs="Segoe UI"/>
          <w:sz w:val="24"/>
          <w:szCs w:val="24"/>
        </w:rPr>
        <w:t>o</w:t>
      </w:r>
      <w:proofErr w:type="gramEnd"/>
      <w:r w:rsidRPr="00845D8C">
        <w:rPr>
          <w:rFonts w:ascii="Segoe UI" w:hAnsi="Segoe UI" w:cs="Segoe UI"/>
          <w:sz w:val="24"/>
          <w:szCs w:val="24"/>
        </w:rPr>
        <w:t xml:space="preserve"> Ministério Público;</w:t>
      </w:r>
    </w:p>
    <w:p w14:paraId="7CAE6DFE" w14:textId="16BCA922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II – </w:t>
      </w:r>
      <w:proofErr w:type="gramStart"/>
      <w:r w:rsidRPr="00845D8C">
        <w:rPr>
          <w:rFonts w:ascii="Segoe UI" w:hAnsi="Segoe UI" w:cs="Segoe UI"/>
          <w:sz w:val="24"/>
          <w:szCs w:val="24"/>
        </w:rPr>
        <w:t>a</w:t>
      </w:r>
      <w:proofErr w:type="gramEnd"/>
      <w:r w:rsidRPr="00845D8C">
        <w:rPr>
          <w:rFonts w:ascii="Segoe UI" w:hAnsi="Segoe UI" w:cs="Segoe UI"/>
          <w:sz w:val="24"/>
          <w:szCs w:val="24"/>
        </w:rPr>
        <w:t xml:space="preserve"> Defensoria Pública do Estado;</w:t>
      </w:r>
    </w:p>
    <w:p w14:paraId="0FB7BC3A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III – entidades civis de defesa do consumidor legalmente constituídas. </w:t>
      </w:r>
    </w:p>
    <w:p w14:paraId="4D8B939F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§1º</w:t>
      </w:r>
      <w:r w:rsidRPr="00845D8C">
        <w:rPr>
          <w:rFonts w:ascii="Segoe UI" w:hAnsi="Segoe UI" w:cs="Segoe UI"/>
          <w:sz w:val="24"/>
          <w:szCs w:val="24"/>
        </w:rPr>
        <w:t xml:space="preserve"> As medidas cabíveis incluem, entre outras, a instauração de inquérito civil, propositura de Ação Civil Pública, ajuizamento de ações coletivas de responsabilidade e expedição de recomendações aos fornecedores. </w:t>
      </w:r>
    </w:p>
    <w:p w14:paraId="02B57B78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§2º</w:t>
      </w:r>
      <w:r w:rsidRPr="00845D8C">
        <w:rPr>
          <w:rFonts w:ascii="Segoe UI" w:hAnsi="Segoe UI" w:cs="Segoe UI"/>
          <w:sz w:val="24"/>
          <w:szCs w:val="24"/>
        </w:rPr>
        <w:t xml:space="preserve"> A reparação coletiva poderá abranger ressarcimento de prejuízos, obrigação de fazer, cumprimento forçado da oferta, multas e demais instrumentos previstos na legislação pertinente. </w:t>
      </w:r>
    </w:p>
    <w:p w14:paraId="6367B6A0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Art. 7º</w:t>
      </w:r>
      <w:r w:rsidRPr="00845D8C">
        <w:rPr>
          <w:rFonts w:ascii="Segoe UI" w:hAnsi="Segoe UI" w:cs="Segoe UI"/>
          <w:sz w:val="24"/>
          <w:szCs w:val="24"/>
        </w:rPr>
        <w:t xml:space="preserve"> O descumprimento das disposições desta Lei sujeitará os infratores, sejam fornecedores de produtos ou serviços, às seguintes sanções administrativas, que poderão ser aplicadas cumulativamente:</w:t>
      </w:r>
    </w:p>
    <w:p w14:paraId="6E9DBD6A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lastRenderedPageBreak/>
        <w:t xml:space="preserve"> I – Multa administrativa de 100 (cem) a 10.000 (dez mil) Unidades Fiscais do Estado</w:t>
      </w:r>
      <w:r>
        <w:rPr>
          <w:rFonts w:ascii="Segoe UI" w:hAnsi="Segoe UI" w:cs="Segoe UI"/>
          <w:sz w:val="24"/>
          <w:szCs w:val="24"/>
        </w:rPr>
        <w:t>;</w:t>
      </w:r>
    </w:p>
    <w:p w14:paraId="39DADD7E" w14:textId="77777777" w:rsidR="00845D8C" w:rsidRDefault="00845D8C" w:rsidP="00FB69F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II – Suspensão temporária de publicidade; </w:t>
      </w:r>
    </w:p>
    <w:p w14:paraId="182E827F" w14:textId="77777777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III – Cassação de licença de estabelecimento ou de atividade em caso de reincidência; </w:t>
      </w:r>
    </w:p>
    <w:p w14:paraId="7BF3F951" w14:textId="77777777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IV- Inclusão em cadastro de fornecedores infratores, para divulgação pública. </w:t>
      </w:r>
    </w:p>
    <w:p w14:paraId="6A0A90A2" w14:textId="77777777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§ 1º</w:t>
      </w:r>
      <w:r w:rsidRPr="00845D8C">
        <w:rPr>
          <w:rFonts w:ascii="Segoe UI" w:hAnsi="Segoe UI" w:cs="Segoe UI"/>
          <w:sz w:val="24"/>
          <w:szCs w:val="24"/>
        </w:rPr>
        <w:t xml:space="preserve"> A aplicação da multa não exclui a obrigação de reparação de danos causados aos consumidores, nos termos da legislação vigente. </w:t>
      </w:r>
    </w:p>
    <w:p w14:paraId="7C0A04EC" w14:textId="77777777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§ 2º</w:t>
      </w:r>
      <w:r w:rsidRPr="00845D8C">
        <w:rPr>
          <w:rFonts w:ascii="Segoe UI" w:hAnsi="Segoe UI" w:cs="Segoe UI"/>
          <w:sz w:val="24"/>
          <w:szCs w:val="24"/>
        </w:rPr>
        <w:t xml:space="preserve"> Os valores arrecadados com as multas serão revertidos para o Fundo Estadual de Proteção e Defesa do Consumidor. </w:t>
      </w:r>
    </w:p>
    <w:p w14:paraId="6DAC9E01" w14:textId="77777777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Art. 8º</w:t>
      </w:r>
      <w:r w:rsidRPr="00845D8C">
        <w:rPr>
          <w:rFonts w:ascii="Segoe UI" w:hAnsi="Segoe UI" w:cs="Segoe UI"/>
          <w:sz w:val="24"/>
          <w:szCs w:val="24"/>
        </w:rPr>
        <w:t xml:space="preserve"> As sanções administrativas previstas nesta Lei serão aplicadas pelos órgãos estaduais de defesa do consumidor, especialmente os PROCONS. </w:t>
      </w:r>
    </w:p>
    <w:p w14:paraId="4FBBC3A6" w14:textId="12368334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Parágrafo único.</w:t>
      </w:r>
      <w:r w:rsidRPr="00845D8C">
        <w:rPr>
          <w:rFonts w:ascii="Segoe UI" w:hAnsi="Segoe UI" w:cs="Segoe UI"/>
          <w:sz w:val="24"/>
          <w:szCs w:val="24"/>
        </w:rPr>
        <w:t xml:space="preserve"> Os órgãos de defesa do consumidor deverão instituir mecanismos de monitoramento de preços e ofertas nos períodos que antecedem e durante os eventos promocionais, a fim de subsidiar a fiscalização e a aplicação das sanções. </w:t>
      </w:r>
    </w:p>
    <w:p w14:paraId="78A047A3" w14:textId="77777777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Art. 9º</w:t>
      </w:r>
      <w:r w:rsidRPr="00845D8C">
        <w:rPr>
          <w:rFonts w:ascii="Segoe UI" w:hAnsi="Segoe UI" w:cs="Segoe UI"/>
          <w:sz w:val="24"/>
          <w:szCs w:val="24"/>
        </w:rPr>
        <w:t xml:space="preserve"> Sem prejuízo das penalidades administrativas previstas nesta Lei, o fornecedor que praticar ofertas enganosas, manipulação fraudulenta de preços ou qualquer forma de publicidade que induza o consumidor a erro ficará sujeito às sanções penais previstas no Código de Defesa do Consumidor, especialmente as constantes no Capítulo VII do Título I da Lei Federal nº 8.078/90 – Código de Proteção e Defesa do Consumidor, quando caracterizadas as condutas ali tipificadas. </w:t>
      </w:r>
    </w:p>
    <w:p w14:paraId="052400DE" w14:textId="77777777" w:rsid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Parágrafo único.</w:t>
      </w:r>
      <w:r w:rsidRPr="00845D8C">
        <w:rPr>
          <w:rFonts w:ascii="Segoe UI" w:hAnsi="Segoe UI" w:cs="Segoe UI"/>
          <w:sz w:val="24"/>
          <w:szCs w:val="24"/>
        </w:rPr>
        <w:t xml:space="preserve"> A aplicação das sanções penais previstas neste artigo não afasta a responsabilidade civil por eventuais danos causados ao consumidor. </w:t>
      </w:r>
    </w:p>
    <w:p w14:paraId="505418AA" w14:textId="5141ECA9" w:rsidR="00845D8C" w:rsidRPr="00845D8C" w:rsidRDefault="00845D8C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Art. 10</w:t>
      </w:r>
      <w:r w:rsidRPr="00845D8C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14:paraId="72C9D9EB" w14:textId="51AE3D2E" w:rsidR="00FB69FB" w:rsidRPr="00845D8C" w:rsidRDefault="006C3DD5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5A540A">
        <w:rPr>
          <w:rFonts w:ascii="Segoe UI" w:hAnsi="Segoe UI" w:cs="Segoe UI"/>
          <w:sz w:val="24"/>
          <w:szCs w:val="24"/>
        </w:rPr>
        <w:t>10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5A540A">
        <w:rPr>
          <w:rFonts w:ascii="Segoe UI" w:hAnsi="Segoe UI" w:cs="Segoe UI"/>
          <w:sz w:val="24"/>
          <w:szCs w:val="24"/>
        </w:rPr>
        <w:t>març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30A63A1" w14:textId="77777777" w:rsidR="00845D8C" w:rsidRDefault="00845D8C" w:rsidP="00FB69F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A presente proposição visa proteger o consumidor paulista contra práticas abusivas amplamente verificadas durante a chamada “Black Friday” e eventos promocionais similares, nos quais fornecedores elevam artificialmente os preços nos dias que antecedem as ofertas, criando descontos fictícios e induzindo o consumidor a erro, conhecida como a “Black Fraude”. </w:t>
      </w:r>
    </w:p>
    <w:p w14:paraId="4F8C72CA" w14:textId="77777777" w:rsidR="00845D8C" w:rsidRDefault="00845D8C" w:rsidP="00FB69F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>Tal conduta afronta diretamente o ordenamento jurídico brasileiro e fere direitos fundamentais de proteção e transparência nas relações de consumo. A Constituição Federal, em seu art. 5º, inciso XXXII, determina que “o Estado promoverá, na forma da lei, a defesa do consumidor”, estabelecendo verdadeiro dever constitucional de tutela.</w:t>
      </w:r>
    </w:p>
    <w:p w14:paraId="163BC530" w14:textId="77777777" w:rsidR="00845D8C" w:rsidRDefault="00845D8C" w:rsidP="00FB69F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No mesmo sentido, o art. 170, inciso V, fixa como princípio da ordem econômica a defesa do consumidor, impondo que a atividade econômica se desenvolva de maneira ética e isenta de práticas enganosas. O Código de Defesa do Consumidor, por sua vez, estabelece normas claras e precisas que fundamentam o presente Projeto de Lei. O art. 6º, III, assegura ao consumidor o direito à informação adequada e clara sobre produtos e serviços.</w:t>
      </w:r>
    </w:p>
    <w:p w14:paraId="78E7BDEA" w14:textId="77777777" w:rsidR="00845D8C" w:rsidRDefault="00845D8C" w:rsidP="00FB69F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O art. 31 impõe que toda oferta e publicidade deve ser verdadeira, clara e precisa, não podendo conter informações enganosas. Já o art. 37, caput e §1º, veda expressamente publicidade enganosa ou abusiva, incluindo a indução do consumidor a erro quanto ao preço e ao real benefício da oferta. A prática comum de elevar preços previamente, para criar supostos descontos durante a Black Friday — </w:t>
      </w:r>
      <w:proofErr w:type="gramStart"/>
      <w:r w:rsidRPr="00845D8C">
        <w:rPr>
          <w:rFonts w:ascii="Segoe UI" w:hAnsi="Segoe UI" w:cs="Segoe UI"/>
          <w:sz w:val="24"/>
          <w:szCs w:val="24"/>
        </w:rPr>
        <w:t>o popular “metade</w:t>
      </w:r>
      <w:proofErr w:type="gramEnd"/>
      <w:r w:rsidRPr="00845D8C">
        <w:rPr>
          <w:rFonts w:ascii="Segoe UI" w:hAnsi="Segoe UI" w:cs="Segoe UI"/>
          <w:sz w:val="24"/>
          <w:szCs w:val="24"/>
        </w:rPr>
        <w:t xml:space="preserve"> do dobro” — caracteriza clara violação a esses dispositivos, comprometendo a boa-fé, a transparência e a leal concorrência. Tais condutas lesam o consumidor, distorcem o mercado e prejudicam empresas que atuam de maneira ética. Diante da crescente relevância do comércio eletrônico e da multiplicação de ofertas online, faz-se ainda mais necessária a intervenção legislativa para garantir que os consumidores tenham acesso a informações verdadeiras e que os órgãos de fiscalização, como o Procons, disponham de instrumentos claros para identificar e punir tais práticas. </w:t>
      </w:r>
    </w:p>
    <w:p w14:paraId="235FD475" w14:textId="77777777" w:rsidR="00845D8C" w:rsidRDefault="00845D8C" w:rsidP="00FB69F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O presente Projeto de Lei busca, portanto: combater aumentos artificiais de preços; garantir transparência e rastreabilidade das ofertas por meio do histórico de </w:t>
      </w:r>
      <w:r w:rsidRPr="00845D8C">
        <w:rPr>
          <w:rFonts w:ascii="Segoe UI" w:hAnsi="Segoe UI" w:cs="Segoe UI"/>
          <w:sz w:val="24"/>
          <w:szCs w:val="24"/>
        </w:rPr>
        <w:lastRenderedPageBreak/>
        <w:t>preços; fortalecer a atuação fiscalizatória dos órgãos de defesa do consumidor; proteger o consumidor paulista de práticas enganosas; promover concorrência justa entre fornecedores; dar efetividade aos preceitos constitucionais e às normas do CDC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845D8C">
        <w:rPr>
          <w:rFonts w:ascii="Segoe UI" w:hAnsi="Segoe UI" w:cs="Segoe UI"/>
          <w:sz w:val="24"/>
          <w:szCs w:val="24"/>
        </w:rPr>
        <w:t xml:space="preserve">A proposição não apenas reforça direitos já reconhecidos, mas também supre lacunas de fiscalização, trazendo regras objetivas que permitirão ao Estado </w:t>
      </w:r>
      <w:r>
        <w:rPr>
          <w:rFonts w:ascii="Segoe UI" w:hAnsi="Segoe UI" w:cs="Segoe UI"/>
          <w:sz w:val="24"/>
          <w:szCs w:val="24"/>
        </w:rPr>
        <w:t xml:space="preserve">do Tocantins </w:t>
      </w:r>
      <w:r w:rsidRPr="00845D8C">
        <w:rPr>
          <w:rFonts w:ascii="Segoe UI" w:hAnsi="Segoe UI" w:cs="Segoe UI"/>
          <w:sz w:val="24"/>
          <w:szCs w:val="24"/>
        </w:rPr>
        <w:t xml:space="preserve">agir de forma mais eficiente contra fraudes em eventos promocionais. </w:t>
      </w:r>
    </w:p>
    <w:p w14:paraId="74C1CD7E" w14:textId="6D6DABAC" w:rsidR="00186CA4" w:rsidRDefault="00845D8C" w:rsidP="00FB69F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>Diante do exposto, e em defesa da transparência, do equilíbrio das relações de consumo e do cumprimento dos princípios constitucionais, solicita-se o apoio dos nobres Parlamentares para a aprovação deste Projeto de Lei, de grande interesse público e de evidente relevância social</w:t>
      </w:r>
      <w:r w:rsidR="007B3F07" w:rsidRPr="007B3F07">
        <w:rPr>
          <w:rFonts w:ascii="Segoe UI" w:hAnsi="Segoe UI" w:cs="Segoe UI"/>
          <w:sz w:val="24"/>
          <w:szCs w:val="24"/>
        </w:rPr>
        <w:t>.</w:t>
      </w:r>
      <w:r w:rsidR="00D062F1" w:rsidRPr="00D062F1">
        <w:rPr>
          <w:rFonts w:ascii="Segoe UI" w:hAnsi="Segoe UI" w:cs="Segoe UI"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5A540A">
        <w:rPr>
          <w:rFonts w:ascii="Segoe UI" w:hAnsi="Segoe UI" w:cs="Segoe UI"/>
          <w:b/>
          <w:sz w:val="24"/>
          <w:szCs w:val="24"/>
        </w:rPr>
        <w:t>10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5A540A">
        <w:rPr>
          <w:rFonts w:ascii="Segoe UI" w:hAnsi="Segoe UI" w:cs="Segoe UI"/>
          <w:b/>
          <w:sz w:val="24"/>
          <w:szCs w:val="24"/>
        </w:rPr>
        <w:t>març</w:t>
      </w:r>
      <w:r w:rsidR="00FC1908">
        <w:rPr>
          <w:rFonts w:ascii="Segoe UI" w:hAnsi="Segoe UI" w:cs="Segoe UI"/>
          <w:b/>
          <w:sz w:val="24"/>
          <w:szCs w:val="24"/>
        </w:rPr>
        <w:t>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3E0A" w14:textId="77777777" w:rsidR="001B3669" w:rsidRDefault="001B3669">
      <w:r>
        <w:separator/>
      </w:r>
    </w:p>
  </w:endnote>
  <w:endnote w:type="continuationSeparator" w:id="0">
    <w:p w14:paraId="7C418489" w14:textId="77777777" w:rsidR="001B3669" w:rsidRDefault="001B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3CB2" w14:textId="77777777" w:rsidR="001B3669" w:rsidRDefault="001B3669">
      <w:r>
        <w:separator/>
      </w:r>
    </w:p>
  </w:footnote>
  <w:footnote w:type="continuationSeparator" w:id="0">
    <w:p w14:paraId="3B72F07B" w14:textId="77777777" w:rsidR="001B3669" w:rsidRDefault="001B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3669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1570</Words>
  <Characters>8483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2026-03-09T01:31:00Z</dcterms:created>
  <dcterms:modified xsi:type="dcterms:W3CDTF">2026-03-09T01:31:00Z</dcterms:modified>
</cp:coreProperties>
</file>