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04" w:rsidRPr="008C31DE" w:rsidRDefault="00804904" w:rsidP="00F81342">
      <w:pPr>
        <w:pStyle w:val="Ttulo1"/>
        <w:jc w:val="both"/>
        <w:rPr>
          <w:rFonts w:ascii="Times New Roman" w:hAnsi="Times New Roman"/>
          <w:szCs w:val="24"/>
        </w:rPr>
      </w:pPr>
    </w:p>
    <w:p w:rsidR="00804904" w:rsidRPr="00245844" w:rsidRDefault="00804904" w:rsidP="00F81342">
      <w:pPr>
        <w:pStyle w:val="Ttulo1"/>
        <w:jc w:val="both"/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</w:pPr>
      <w:r w:rsidRPr="00245844">
        <w:rPr>
          <w:rFonts w:ascii="Times New Roman" w:eastAsia="Times New Roman" w:hAnsi="Times New Roman" w:cstheme="minorBidi"/>
          <w:bCs w:val="0"/>
          <w:color w:val="auto"/>
          <w:sz w:val="24"/>
          <w:szCs w:val="24"/>
          <w:lang w:eastAsia="pt-BR"/>
        </w:rPr>
        <w:t>PROJETO DE LEI Nº ___ /2026.</w:t>
      </w:r>
    </w:p>
    <w:p w:rsidR="00804904" w:rsidRPr="008C31DE" w:rsidRDefault="00804904" w:rsidP="00F81342">
      <w:pPr>
        <w:ind w:left="4395"/>
        <w:jc w:val="both"/>
        <w:rPr>
          <w:szCs w:val="24"/>
        </w:rPr>
      </w:pPr>
    </w:p>
    <w:p w:rsidR="00804904" w:rsidRPr="008C31DE" w:rsidRDefault="0060039B" w:rsidP="00FE125E">
      <w:pPr>
        <w:ind w:left="5245"/>
        <w:jc w:val="both"/>
        <w:rPr>
          <w:szCs w:val="24"/>
        </w:rPr>
      </w:pPr>
      <w:r>
        <w:t>Institui a Política Estadual de Proteção, Recuperação e Uso Sustentável de Nascentes e Mananciais de Água no Estado do Tocantins e estabelece diretrizes para a preservação dos recursos hídricos</w:t>
      </w:r>
      <w:r w:rsidR="00804904" w:rsidRPr="008C31DE">
        <w:rPr>
          <w:szCs w:val="24"/>
        </w:rPr>
        <w:t xml:space="preserve">. </w:t>
      </w:r>
    </w:p>
    <w:p w:rsidR="00804904" w:rsidRPr="008C31DE" w:rsidRDefault="00804904" w:rsidP="00F81342">
      <w:pPr>
        <w:jc w:val="both"/>
        <w:rPr>
          <w:szCs w:val="24"/>
        </w:rPr>
      </w:pPr>
    </w:p>
    <w:p w:rsidR="00804904" w:rsidRPr="008C31DE" w:rsidRDefault="00804904" w:rsidP="00F81342">
      <w:pPr>
        <w:ind w:left="567"/>
        <w:jc w:val="both"/>
        <w:rPr>
          <w:b/>
          <w:szCs w:val="24"/>
        </w:rPr>
      </w:pPr>
      <w:r w:rsidRPr="008C31DE">
        <w:rPr>
          <w:b/>
          <w:szCs w:val="24"/>
        </w:rPr>
        <w:t>A ASSEMBLEIA LEGISLATIVA DO ESTADO DO TOCANTINS DECRETA:</w:t>
      </w:r>
    </w:p>
    <w:p w:rsidR="00804904" w:rsidRPr="008C31DE" w:rsidRDefault="00804904" w:rsidP="00F81342">
      <w:pPr>
        <w:jc w:val="both"/>
        <w:rPr>
          <w:szCs w:val="24"/>
        </w:rPr>
      </w:pPr>
    </w:p>
    <w:p w:rsidR="00804904" w:rsidRPr="00FD3DB2" w:rsidRDefault="00804904" w:rsidP="00F81342">
      <w:pPr>
        <w:pStyle w:val="NormalWeb"/>
        <w:spacing w:line="360" w:lineRule="auto"/>
      </w:pPr>
      <w:r w:rsidRPr="008C31DE">
        <w:rPr>
          <w:b/>
          <w:bCs/>
        </w:rPr>
        <w:t xml:space="preserve">Art. 1º </w:t>
      </w:r>
      <w:r w:rsidR="0060039B" w:rsidRPr="0060039B">
        <w:rPr>
          <w:bCs/>
        </w:rPr>
        <w:t>F</w:t>
      </w:r>
      <w:r w:rsidR="0060039B">
        <w:t xml:space="preserve">ica instituída a </w:t>
      </w:r>
      <w:r w:rsidR="0060039B" w:rsidRPr="0060039B">
        <w:rPr>
          <w:rStyle w:val="Forte"/>
          <w:b w:val="0"/>
        </w:rPr>
        <w:t>Política Estadual de Proteção, Recuperação e Uso Sustentável de Nascentes e Mananciais de Água</w:t>
      </w:r>
      <w:r w:rsidR="0060039B">
        <w:t>, com a finalidade de promover a conservação dos recursos hídricos e assegurar a proteção das fontes naturais de água no território do Estado</w:t>
      </w:r>
      <w:r w:rsidR="003B69BF" w:rsidRPr="003B69BF">
        <w:rPr>
          <w:rFonts w:eastAsiaTheme="minorEastAsia" w:cstheme="minorBidi"/>
          <w:szCs w:val="22"/>
          <w:lang w:val="en-US" w:eastAsia="en-US"/>
        </w:rPr>
        <w:t>.</w:t>
      </w:r>
    </w:p>
    <w:p w:rsidR="00804904" w:rsidRDefault="00804904" w:rsidP="00F81342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2º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60039B">
        <w:t>Para os fins desta Lei, considera-se</w:t>
      </w:r>
      <w:r w:rsidR="003C3B0D">
        <w:t>:</w:t>
      </w:r>
    </w:p>
    <w:p w:rsidR="003C3B0D" w:rsidRDefault="0060039B" w:rsidP="003C3B0D">
      <w:pPr>
        <w:pStyle w:val="NormalWeb"/>
        <w:ind w:left="720"/>
      </w:pPr>
      <w:r>
        <w:t xml:space="preserve">I – </w:t>
      </w:r>
      <w:r w:rsidRPr="0060039B">
        <w:rPr>
          <w:rStyle w:val="Forte"/>
          <w:b w:val="0"/>
        </w:rPr>
        <w:t>nascente</w:t>
      </w:r>
      <w:r>
        <w:t>: o local onde ocorre o afloramento natural da água subterrânea, dando origem a curso d’água</w:t>
      </w:r>
      <w:r w:rsidR="003C3B0D">
        <w:t>;</w:t>
      </w:r>
    </w:p>
    <w:p w:rsidR="003C3B0D" w:rsidRDefault="003C3B0D" w:rsidP="0060039B">
      <w:pPr>
        <w:pStyle w:val="NormalWeb"/>
        <w:ind w:left="720"/>
      </w:pPr>
      <w:r>
        <w:t xml:space="preserve">II – </w:t>
      </w:r>
      <w:r w:rsidR="0060039B" w:rsidRPr="0060039B">
        <w:rPr>
          <w:rStyle w:val="Forte"/>
          <w:b w:val="0"/>
        </w:rPr>
        <w:t>manancial</w:t>
      </w:r>
      <w:r w:rsidR="0060039B">
        <w:t>: todo corpo hídrico superficial ou subterrâneo utilizado ou potencialmente utilizável para abastecimento humano, animal ou para atividades produtivas.</w:t>
      </w:r>
    </w:p>
    <w:p w:rsidR="003C3B0D" w:rsidRDefault="00804904" w:rsidP="00F81342">
      <w:pPr>
        <w:pStyle w:val="NormalWeb"/>
        <w:spacing w:line="360" w:lineRule="auto"/>
      </w:pPr>
      <w:r w:rsidRPr="008C31DE">
        <w:rPr>
          <w:b/>
          <w:bCs/>
        </w:rPr>
        <w:t>Art. 3º</w:t>
      </w:r>
      <w:r w:rsidRPr="008C31DE">
        <w:t xml:space="preserve"> </w:t>
      </w:r>
      <w:r w:rsidR="0060039B">
        <w:t xml:space="preserve">A Política Estadual de Proteção, Recuperação e Uso Sustentável de Nascentes e Mananciais de Água observará as seguintes </w:t>
      </w:r>
      <w:r w:rsidR="0060039B" w:rsidRPr="0060039B">
        <w:rPr>
          <w:rStyle w:val="Forte"/>
          <w:b w:val="0"/>
        </w:rPr>
        <w:t>diretrizes</w:t>
      </w:r>
      <w:r w:rsidR="0060039B">
        <w:t>:</w:t>
      </w:r>
    </w:p>
    <w:p w:rsidR="0060039B" w:rsidRDefault="0060039B" w:rsidP="0060039B">
      <w:pPr>
        <w:pStyle w:val="NormalWeb"/>
        <w:ind w:left="720"/>
      </w:pPr>
      <w:r>
        <w:lastRenderedPageBreak/>
        <w:t>I – preservação das áreas de nascentes e mananciais como forma de garantir a segurança hídrica;</w:t>
      </w:r>
    </w:p>
    <w:p w:rsidR="0060039B" w:rsidRDefault="0060039B" w:rsidP="0060039B">
      <w:pPr>
        <w:pStyle w:val="NormalWeb"/>
        <w:ind w:firstLine="720"/>
      </w:pPr>
      <w:r>
        <w:t>II – recuperação ambiental de áreas degradadas relacionadas às fontes de água;</w:t>
      </w:r>
    </w:p>
    <w:p w:rsidR="0060039B" w:rsidRDefault="0060039B" w:rsidP="0060039B">
      <w:pPr>
        <w:pStyle w:val="NormalWeb"/>
        <w:ind w:firstLine="720"/>
      </w:pPr>
      <w:r>
        <w:t>III – incentivo à conservação da vegetação nativa nas áreas de preservação permanente;</w:t>
      </w:r>
    </w:p>
    <w:p w:rsidR="0060039B" w:rsidRDefault="0060039B" w:rsidP="0060039B">
      <w:pPr>
        <w:pStyle w:val="NormalWeb"/>
        <w:ind w:firstLine="720"/>
      </w:pPr>
      <w:r>
        <w:t>IV – integração entre políticas ambientais, agrícolas e de recursos hídricos;</w:t>
      </w:r>
    </w:p>
    <w:p w:rsidR="0060039B" w:rsidRDefault="0060039B" w:rsidP="0060039B">
      <w:pPr>
        <w:pStyle w:val="NormalWeb"/>
        <w:ind w:left="720"/>
      </w:pPr>
      <w:r>
        <w:t>V – estímulo à participação de proprietários rurais, comunidades locais e instituições da sociedade civil na proteção das nascentes;</w:t>
      </w:r>
    </w:p>
    <w:p w:rsidR="0060039B" w:rsidRDefault="0060039B" w:rsidP="0060039B">
      <w:pPr>
        <w:pStyle w:val="NormalWeb"/>
        <w:ind w:left="720"/>
      </w:pPr>
      <w:r>
        <w:t>VI – promoção de ações de educação ambiental voltadas à preservação dos recursos hídricos;</w:t>
      </w:r>
    </w:p>
    <w:p w:rsidR="0060039B" w:rsidRDefault="0060039B" w:rsidP="0060039B">
      <w:pPr>
        <w:pStyle w:val="NormalWeb"/>
        <w:ind w:left="720"/>
      </w:pPr>
      <w:r>
        <w:t>VII – incentivo à pesquisa científica e ao desenvolvimento de tecnologias voltadas à conservação da água.</w:t>
      </w:r>
    </w:p>
    <w:p w:rsidR="00804904" w:rsidRPr="008C31DE" w:rsidRDefault="00804904" w:rsidP="00F81342">
      <w:pPr>
        <w:spacing w:before="240" w:after="240"/>
        <w:jc w:val="both"/>
        <w:rPr>
          <w:szCs w:val="24"/>
        </w:rPr>
      </w:pPr>
      <w:r w:rsidRPr="008C31DE">
        <w:rPr>
          <w:rFonts w:eastAsia="Times New Roman"/>
          <w:b/>
          <w:bCs/>
          <w:szCs w:val="24"/>
          <w:lang w:eastAsia="pt-BR"/>
        </w:rPr>
        <w:t>Art. 4</w:t>
      </w:r>
      <w:r w:rsidR="004C3B2B" w:rsidRPr="008C31DE">
        <w:rPr>
          <w:rFonts w:eastAsia="Times New Roman"/>
          <w:b/>
          <w:bCs/>
          <w:szCs w:val="24"/>
          <w:lang w:eastAsia="pt-BR"/>
        </w:rPr>
        <w:t>º</w:t>
      </w:r>
      <w:r w:rsidR="004C3B2B" w:rsidRPr="008C31DE">
        <w:rPr>
          <w:rFonts w:eastAsia="Times New Roman"/>
          <w:szCs w:val="24"/>
          <w:lang w:eastAsia="pt-BR"/>
        </w:rPr>
        <w:t xml:space="preserve"> </w:t>
      </w:r>
      <w:r w:rsidR="0060039B">
        <w:t xml:space="preserve">Constituem </w:t>
      </w:r>
      <w:r w:rsidR="0060039B" w:rsidRPr="0060039B">
        <w:rPr>
          <w:bCs/>
        </w:rPr>
        <w:t>objetivos</w:t>
      </w:r>
      <w:r w:rsidR="0060039B">
        <w:t xml:space="preserve"> da Política Estadual de Proteção, Recuperação e Uso Sustentável de Nascentes e Mananciais</w:t>
      </w:r>
      <w:r w:rsidR="003C3B0D">
        <w:t>:</w:t>
      </w:r>
    </w:p>
    <w:p w:rsidR="0060039B" w:rsidRDefault="0060039B" w:rsidP="0060039B">
      <w:pPr>
        <w:pStyle w:val="NormalWeb"/>
        <w:ind w:firstLine="720"/>
      </w:pPr>
      <w:r>
        <w:t>I – identificar e monitorar as nascentes e mananciais existentes no Estado;</w:t>
      </w:r>
    </w:p>
    <w:p w:rsidR="0060039B" w:rsidRDefault="0060039B" w:rsidP="0060039B">
      <w:pPr>
        <w:pStyle w:val="NormalWeb"/>
        <w:ind w:left="720"/>
      </w:pPr>
      <w:r>
        <w:t>II – incentivar ações de recuperação de áreas degradadas relacionadas aos recursos hídricos;</w:t>
      </w:r>
    </w:p>
    <w:p w:rsidR="0060039B" w:rsidRDefault="0060039B" w:rsidP="0060039B">
      <w:pPr>
        <w:pStyle w:val="NormalWeb"/>
        <w:ind w:firstLine="720"/>
      </w:pPr>
      <w:r>
        <w:t>III – promover o uso sustentável da água;</w:t>
      </w:r>
    </w:p>
    <w:p w:rsidR="00804904" w:rsidRPr="008C31DE" w:rsidRDefault="0060039B" w:rsidP="0060039B">
      <w:pPr>
        <w:pStyle w:val="NormalWeb"/>
        <w:ind w:firstLine="720"/>
      </w:pPr>
      <w:r>
        <w:t>IV – fortalecer a gestão ambiental e o planejamento dos recursos hídricos no Estado.</w:t>
      </w:r>
    </w:p>
    <w:p w:rsidR="0060039B" w:rsidRDefault="00804904" w:rsidP="0060039B">
      <w:pPr>
        <w:pStyle w:val="NormalWeb"/>
      </w:pPr>
      <w:r w:rsidRPr="008C31DE">
        <w:rPr>
          <w:b/>
          <w:bCs/>
        </w:rPr>
        <w:t>Art. 5º</w:t>
      </w:r>
      <w:r w:rsidRPr="008C31DE">
        <w:t xml:space="preserve"> </w:t>
      </w:r>
      <w:r w:rsidR="0060039B">
        <w:t>O Poder Executivo poderá desenvolver instrumentos e mecanismos voltados à implementação das diretrizes previstas nesta Lei, observadas as políticas estaduais de meio ambiente e recursos hídricos.</w:t>
      </w:r>
    </w:p>
    <w:p w:rsidR="003C3B0D" w:rsidRDefault="003C3B0D" w:rsidP="003C3B0D">
      <w:pPr>
        <w:pStyle w:val="NormalWeb"/>
        <w:ind w:firstLine="720"/>
      </w:pPr>
    </w:p>
    <w:p w:rsidR="0060039B" w:rsidRDefault="00804904" w:rsidP="00F81342">
      <w:pPr>
        <w:spacing w:before="240" w:after="240"/>
        <w:jc w:val="both"/>
      </w:pPr>
      <w:r w:rsidRPr="008C31DE">
        <w:rPr>
          <w:rFonts w:eastAsia="Times New Roman"/>
          <w:b/>
          <w:bCs/>
          <w:szCs w:val="24"/>
          <w:lang w:eastAsia="pt-BR"/>
        </w:rPr>
        <w:t>Art. 6º</w:t>
      </w:r>
      <w:r w:rsidRPr="008C31DE">
        <w:rPr>
          <w:rFonts w:eastAsia="Times New Roman"/>
          <w:szCs w:val="24"/>
          <w:lang w:eastAsia="pt-BR"/>
        </w:rPr>
        <w:t xml:space="preserve"> </w:t>
      </w:r>
      <w:r w:rsidR="0060039B">
        <w:t>As ações decorrentes desta Lei poderão ser desenvolvidas em articulação com:</w:t>
      </w:r>
    </w:p>
    <w:p w:rsidR="0060039B" w:rsidRDefault="0060039B" w:rsidP="0060039B">
      <w:pPr>
        <w:pStyle w:val="NormalWeb"/>
        <w:ind w:firstLine="720"/>
      </w:pPr>
      <w:r>
        <w:t>I – municípios;</w:t>
      </w:r>
    </w:p>
    <w:p w:rsidR="0060039B" w:rsidRDefault="0060039B" w:rsidP="0060039B">
      <w:pPr>
        <w:pStyle w:val="NormalWeb"/>
        <w:ind w:firstLine="720"/>
      </w:pPr>
      <w:r>
        <w:lastRenderedPageBreak/>
        <w:t>II – instituições de ensino e pesquisa;</w:t>
      </w:r>
    </w:p>
    <w:p w:rsidR="0060039B" w:rsidRDefault="0060039B" w:rsidP="0060039B">
      <w:pPr>
        <w:pStyle w:val="NormalWeb"/>
        <w:ind w:firstLine="720"/>
      </w:pPr>
      <w:r>
        <w:t>III – organizações da sociedade civil;</w:t>
      </w:r>
    </w:p>
    <w:p w:rsidR="00804904" w:rsidRDefault="0060039B" w:rsidP="0060039B">
      <w:pPr>
        <w:pStyle w:val="NormalWeb"/>
        <w:ind w:firstLine="720"/>
      </w:pPr>
      <w:r>
        <w:t>IV – entidades representativas do setor produtivo.</w:t>
      </w:r>
    </w:p>
    <w:p w:rsidR="00F81342" w:rsidRDefault="00F81342" w:rsidP="00F81342">
      <w:pPr>
        <w:spacing w:before="240" w:after="240"/>
        <w:jc w:val="both"/>
      </w:pPr>
      <w:r w:rsidRPr="00F81342">
        <w:rPr>
          <w:rFonts w:eastAsia="Times New Roman"/>
          <w:b/>
          <w:bCs/>
          <w:szCs w:val="24"/>
          <w:lang w:eastAsia="pt-BR"/>
        </w:rPr>
        <w:t>Art. 7º</w:t>
      </w:r>
      <w:r>
        <w:rPr>
          <w:rFonts w:eastAsia="Times New Roman"/>
          <w:b/>
          <w:bCs/>
          <w:szCs w:val="24"/>
          <w:lang w:eastAsia="pt-BR"/>
        </w:rPr>
        <w:t xml:space="preserve"> </w:t>
      </w:r>
      <w:r w:rsidR="0060039B">
        <w:t>Esta Lei entra em vigor na data de sua publicação</w:t>
      </w:r>
      <w:r>
        <w:t>.</w:t>
      </w:r>
    </w:p>
    <w:p w:rsidR="00804904" w:rsidRPr="008C31DE" w:rsidRDefault="00804904" w:rsidP="00F81342">
      <w:pPr>
        <w:tabs>
          <w:tab w:val="left" w:pos="3660"/>
          <w:tab w:val="center" w:pos="4606"/>
        </w:tabs>
        <w:jc w:val="both"/>
        <w:rPr>
          <w:b/>
          <w:szCs w:val="24"/>
        </w:rPr>
      </w:pPr>
      <w:r w:rsidRPr="008C31DE">
        <w:rPr>
          <w:b/>
          <w:szCs w:val="24"/>
        </w:rPr>
        <w:tab/>
        <w:t>JUSTIFICATIVA</w:t>
      </w:r>
    </w:p>
    <w:p w:rsidR="00804904" w:rsidRPr="008C31DE" w:rsidRDefault="00ED31A5" w:rsidP="00F81342">
      <w:pPr>
        <w:spacing w:before="240" w:after="240"/>
        <w:ind w:firstLine="720"/>
        <w:jc w:val="both"/>
        <w:rPr>
          <w:szCs w:val="24"/>
        </w:rPr>
      </w:pPr>
      <w:r>
        <w:t>A proteção das nascentes e dos mananciais de água é uma medida essencial para garantir a disponibilidade de recursos hídricos e preservar o equilíbrio ambiental. As nascentes representam o ponto de origem dos cursos d’água e desempenham papel fundamental tanto para a manutenção dos ecossistemas quanto para o abastecimento da população e o desenvolvimento das atividades econômicas</w:t>
      </w:r>
      <w:r w:rsidR="00F81342">
        <w:t>.</w:t>
      </w:r>
      <w:r w:rsidR="00804904" w:rsidRPr="008C31DE">
        <w:rPr>
          <w:rFonts w:eastAsia="Times New Roman"/>
          <w:szCs w:val="24"/>
        </w:rPr>
        <w:t xml:space="preserve"> </w:t>
      </w:r>
    </w:p>
    <w:p w:rsidR="00804904" w:rsidRPr="008C31DE" w:rsidRDefault="00ED31A5" w:rsidP="00F81342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 xml:space="preserve">No Estado do </w:t>
      </w:r>
      <w:r>
        <w:rPr>
          <w:rStyle w:val="whitespace-normal"/>
        </w:rPr>
        <w:t>Tocantins</w:t>
      </w:r>
      <w:r>
        <w:t>, que abriga importantes bacias hidrográficas e possui forte atividade agropecuária, a preservação dessas áreas assume papel estratégico. Em diversas regiões, o avanço da degradação ambiental, aliado ao uso inadequado do solo, tem contribuído para o comprometimento de nascentes e de áreas de recarga hídrica, o que pode impactar diretamente a disponibilidade e a qualidade da água</w:t>
      </w:r>
      <w:r w:rsidR="00804904" w:rsidRPr="008C31DE">
        <w:rPr>
          <w:rFonts w:eastAsia="Times New Roman"/>
          <w:szCs w:val="24"/>
        </w:rPr>
        <w:t>.</w:t>
      </w:r>
    </w:p>
    <w:p w:rsidR="00F81342" w:rsidRDefault="00ED31A5" w:rsidP="00F81342">
      <w:pPr>
        <w:spacing w:before="240" w:after="240"/>
        <w:ind w:firstLine="720"/>
        <w:jc w:val="both"/>
        <w:rPr>
          <w:rFonts w:eastAsia="Times New Roman"/>
          <w:szCs w:val="24"/>
        </w:rPr>
      </w:pPr>
      <w:r>
        <w:t>Diante desse cenário, a presente proposta busca estabelecer diretrizes para a proteção, recuperação e uso sustentável das nascentes e mananciais de água no Estado, fortalecendo as políticas públicas voltadas à conservação dos recursos hídricos. A iniciativa também incentiva a integração entre poder público, produtores rurais, instituições de pesquisa e sociedade civil na adoção de práticas voltadas à preservação dessas áreas</w:t>
      </w:r>
      <w:r w:rsidR="00804904" w:rsidRPr="008C31DE">
        <w:rPr>
          <w:rFonts w:eastAsia="Times New Roman"/>
          <w:szCs w:val="24"/>
        </w:rPr>
        <w:t>.</w:t>
      </w:r>
    </w:p>
    <w:p w:rsidR="00F81342" w:rsidRDefault="00ED31A5" w:rsidP="00F81342">
      <w:pPr>
        <w:spacing w:before="240" w:after="240"/>
        <w:ind w:firstLine="720"/>
        <w:jc w:val="both"/>
      </w:pPr>
      <w:r>
        <w:t>A medida contribui para ampliar os instrumentos de proteção ambiental no Estado e reforça a importância da gestão responsável dos recursos naturais, especialmente em um contexto em que a segurança hídrica se torna tema cada vez mais relevante para o desenvolvimento sustentável</w:t>
      </w:r>
      <w:r w:rsidR="00F81342">
        <w:t>.</w:t>
      </w:r>
    </w:p>
    <w:p w:rsidR="00804904" w:rsidRPr="00FE125E" w:rsidRDefault="00FE125E" w:rsidP="00FE125E">
      <w:pPr>
        <w:spacing w:before="240" w:after="240"/>
        <w:ind w:firstLine="720"/>
        <w:jc w:val="both"/>
      </w:pPr>
      <w:r>
        <w:lastRenderedPageBreak/>
        <w:t>Diante da importância da matéria, contamos com o apoio dos nobres parlamentares para a aprovação da presente proposição</w:t>
      </w:r>
      <w:r w:rsidR="00F81342">
        <w:t>.</w:t>
      </w:r>
      <w:bookmarkStart w:id="0" w:name="_Hlk5027217"/>
    </w:p>
    <w:p w:rsidR="00804904" w:rsidRPr="008C31DE" w:rsidRDefault="00804904" w:rsidP="00F81342">
      <w:pPr>
        <w:jc w:val="right"/>
        <w:rPr>
          <w:szCs w:val="24"/>
        </w:rPr>
      </w:pPr>
      <w:r w:rsidRPr="008C31DE">
        <w:rPr>
          <w:szCs w:val="24"/>
        </w:rPr>
        <w:t xml:space="preserve">Sala das Sessões, em </w:t>
      </w:r>
      <w:r w:rsidR="00ED31A5">
        <w:rPr>
          <w:szCs w:val="24"/>
        </w:rPr>
        <w:t>11</w:t>
      </w:r>
      <w:r w:rsidRPr="008C31DE">
        <w:rPr>
          <w:szCs w:val="24"/>
        </w:rPr>
        <w:t xml:space="preserve"> de </w:t>
      </w:r>
      <w:r w:rsidR="00226826">
        <w:rPr>
          <w:szCs w:val="24"/>
        </w:rPr>
        <w:t>março</w:t>
      </w:r>
      <w:r w:rsidRPr="008C31DE">
        <w:rPr>
          <w:szCs w:val="24"/>
        </w:rPr>
        <w:t xml:space="preserve"> de 20</w:t>
      </w:r>
      <w:r>
        <w:rPr>
          <w:szCs w:val="24"/>
        </w:rPr>
        <w:t>26</w:t>
      </w:r>
      <w:r w:rsidRPr="008C31DE">
        <w:rPr>
          <w:szCs w:val="24"/>
        </w:rPr>
        <w:t>.</w:t>
      </w:r>
      <w:bookmarkEnd w:id="0"/>
    </w:p>
    <w:p w:rsidR="00804904" w:rsidRDefault="00804904" w:rsidP="00804904">
      <w:pPr>
        <w:jc w:val="both"/>
        <w:rPr>
          <w:szCs w:val="24"/>
        </w:rPr>
      </w:pPr>
    </w:p>
    <w:p w:rsidR="00FE125E" w:rsidRPr="008C31DE" w:rsidRDefault="00FE125E" w:rsidP="00804904">
      <w:pPr>
        <w:jc w:val="both"/>
        <w:rPr>
          <w:szCs w:val="24"/>
        </w:rPr>
      </w:pP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_________________________________________________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Valdemar Júnior</w:t>
      </w:r>
    </w:p>
    <w:p w:rsidR="00804904" w:rsidRPr="008C31DE" w:rsidRDefault="00804904" w:rsidP="00804904">
      <w:pPr>
        <w:spacing w:before="60" w:after="60"/>
        <w:jc w:val="center"/>
        <w:rPr>
          <w:rFonts w:eastAsia="Times New Roman"/>
          <w:b/>
          <w:bCs/>
          <w:szCs w:val="24"/>
          <w:lang w:eastAsia="pt-BR"/>
        </w:rPr>
      </w:pPr>
      <w:r w:rsidRPr="008C31DE">
        <w:rPr>
          <w:rFonts w:eastAsia="Times New Roman"/>
          <w:b/>
          <w:bCs/>
          <w:szCs w:val="24"/>
          <w:lang w:eastAsia="pt-BR"/>
        </w:rPr>
        <w:t>Deputado Estadual</w:t>
      </w:r>
    </w:p>
    <w:p w:rsidR="00804904" w:rsidRPr="00BE416D" w:rsidRDefault="00804904" w:rsidP="00804904">
      <w:pPr>
        <w:jc w:val="center"/>
        <w:rPr>
          <w:noProof/>
          <w:lang w:eastAsia="pt-BR"/>
        </w:rPr>
      </w:pPr>
    </w:p>
    <w:p w:rsidR="00926ABB" w:rsidRPr="00804904" w:rsidRDefault="00926ABB" w:rsidP="00804904">
      <w:pPr>
        <w:jc w:val="both"/>
      </w:pPr>
    </w:p>
    <w:sectPr w:rsidR="00926ABB" w:rsidRPr="00804904" w:rsidSect="00804904">
      <w:headerReference w:type="default" r:id="rId8"/>
      <w:pgSz w:w="11907" w:h="16840" w:code="9"/>
      <w:pgMar w:top="1417" w:right="170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434" w:rsidRDefault="00087434" w:rsidP="00B35C1A">
      <w:pPr>
        <w:spacing w:line="240" w:lineRule="auto"/>
      </w:pPr>
      <w:r>
        <w:separator/>
      </w:r>
    </w:p>
  </w:endnote>
  <w:endnote w:type="continuationSeparator" w:id="1">
    <w:p w:rsidR="00087434" w:rsidRDefault="00087434" w:rsidP="00B35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434" w:rsidRDefault="00087434" w:rsidP="00B35C1A">
      <w:pPr>
        <w:spacing w:line="240" w:lineRule="auto"/>
      </w:pPr>
      <w:r>
        <w:separator/>
      </w:r>
    </w:p>
  </w:footnote>
  <w:footnote w:type="continuationSeparator" w:id="1">
    <w:p w:rsidR="00087434" w:rsidRDefault="00087434" w:rsidP="00B35C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B2" w:rsidRDefault="00F032B5" w:rsidP="00FD3DB2">
    <w:pPr>
      <w:jc w:val="center"/>
      <w:rPr>
        <w:rFonts w:ascii="Calibri" w:hAnsi="Calibri" w:cs="Arial"/>
        <w:b/>
        <w:sz w:val="28"/>
        <w:szCs w:val="28"/>
      </w:rPr>
    </w:pPr>
    <w:r w:rsidRPr="00F032B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marca-v2 (1)" style="position:absolute;left:0;text-align:left;margin-left:386.25pt;margin-top:-23.9pt;width:140.9pt;height:103.8pt;z-index:251661312;visibility:visible">
          <v:imagedata r:id="rId1" o:title="marca-v2 (1)"/>
        </v:shape>
      </w:pict>
    </w:r>
    <w:r w:rsidRPr="00F032B5">
      <w:rPr>
        <w:noProof/>
      </w:rPr>
      <w:pict>
        <v:shape id="Imagem 7" o:spid="_x0000_s2049" type="#_x0000_t75" style="position:absolute;left:0;text-align:left;margin-left:0;margin-top:11.55pt;width:89.25pt;height:106.5pt;z-index:-251656192;visibility:visible;mso-position-horizontal:center;mso-position-horizontal-relative:margin;mso-position-vertical-relative:page" wrapcoords="-182 0 -182 21296 21600 21296 21600 0 -182 0">
          <v:imagedata r:id="rId2" o:title=""/>
          <w10:wrap type="tight" anchorx="margin" anchory="page"/>
        </v:shape>
      </w:pict>
    </w:r>
    <w:r w:rsidR="00FD3DB2">
      <w:rPr>
        <w:rFonts w:ascii="Calibri" w:hAnsi="Calibri" w:cs="Arial"/>
        <w:b/>
        <w:sz w:val="28"/>
        <w:szCs w:val="28"/>
      </w:rPr>
      <w:t xml:space="preserve">  </w:t>
    </w: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jc w:val="center"/>
      <w:rPr>
        <w:rFonts w:ascii="Calibri" w:hAnsi="Calibri" w:cs="Arial"/>
        <w:b/>
        <w:sz w:val="28"/>
        <w:szCs w:val="28"/>
      </w:rPr>
    </w:pPr>
  </w:p>
  <w:p w:rsidR="00FD3DB2" w:rsidRDefault="00FD3DB2" w:rsidP="00FD3DB2">
    <w:pPr>
      <w:tabs>
        <w:tab w:val="left" w:pos="3261"/>
      </w:tabs>
      <w:ind w:left="-142" w:firstLine="426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FD3DB2" w:rsidRPr="000D5259" w:rsidRDefault="00FD3DB2" w:rsidP="00FD3DB2">
    <w:pPr>
      <w:ind w:firstLine="284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FD3DB2" w:rsidRDefault="00FD3DB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4C3210"/>
    <w:multiLevelType w:val="multilevel"/>
    <w:tmpl w:val="87621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87434"/>
    <w:rsid w:val="0015074B"/>
    <w:rsid w:val="00226826"/>
    <w:rsid w:val="00245844"/>
    <w:rsid w:val="0029639D"/>
    <w:rsid w:val="00326F90"/>
    <w:rsid w:val="003B69BF"/>
    <w:rsid w:val="003C3B0D"/>
    <w:rsid w:val="00423A8A"/>
    <w:rsid w:val="00454CA9"/>
    <w:rsid w:val="004C3B2B"/>
    <w:rsid w:val="0060039B"/>
    <w:rsid w:val="006605A8"/>
    <w:rsid w:val="006B562D"/>
    <w:rsid w:val="006D1139"/>
    <w:rsid w:val="00703847"/>
    <w:rsid w:val="00804904"/>
    <w:rsid w:val="008B6BCB"/>
    <w:rsid w:val="00926ABB"/>
    <w:rsid w:val="0099393A"/>
    <w:rsid w:val="00A53F42"/>
    <w:rsid w:val="00A60BFB"/>
    <w:rsid w:val="00AA1D8D"/>
    <w:rsid w:val="00AB19F9"/>
    <w:rsid w:val="00AD0F56"/>
    <w:rsid w:val="00B35C1A"/>
    <w:rsid w:val="00B47730"/>
    <w:rsid w:val="00C201AA"/>
    <w:rsid w:val="00CB0664"/>
    <w:rsid w:val="00DC22A9"/>
    <w:rsid w:val="00E073A9"/>
    <w:rsid w:val="00EB56A7"/>
    <w:rsid w:val="00ED31A5"/>
    <w:rsid w:val="00F032B5"/>
    <w:rsid w:val="00F81342"/>
    <w:rsid w:val="00FC50A9"/>
    <w:rsid w:val="00FC693F"/>
    <w:rsid w:val="00FD3DB2"/>
    <w:rsid w:val="00FE1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1">
    <w:name w:val="Lista Clara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adeClara1">
    <w:name w:val="Grade Clara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mentoMdio11">
    <w:name w:val="Sombreamento Médio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dia21">
    <w:name w:val="Lista Média 2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Mdia11">
    <w:name w:val="Grade Média 1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adeMdia21">
    <w:name w:val="Grade Média 2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Escura1">
    <w:name w:val="Lista Escura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mentoColorido1">
    <w:name w:val="Sombreamento Colorido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Colorida1">
    <w:name w:val="Lista Colorida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adeColorida1">
    <w:name w:val="Grade Colorida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D3DB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A53F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680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Eduardo Lacerda Rocha Santos</cp:lastModifiedBy>
  <cp:revision>11</cp:revision>
  <dcterms:created xsi:type="dcterms:W3CDTF">2013-12-23T23:15:00Z</dcterms:created>
  <dcterms:modified xsi:type="dcterms:W3CDTF">2026-03-11T13:37:00Z</dcterms:modified>
  <cp:category/>
</cp:coreProperties>
</file>