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F40" w:rsidRDefault="00852F40" w:rsidP="00852F40">
      <w:pPr>
        <w:ind w:firstLine="0"/>
        <w:jc w:val="both"/>
        <w:rPr>
          <w:rFonts w:ascii="Arial" w:hAnsi="Arial" w:cs="Arial"/>
          <w:b/>
        </w:rPr>
      </w:pPr>
      <w:r w:rsidRPr="00852F40">
        <w:rPr>
          <w:rFonts w:ascii="Arial" w:hAnsi="Arial" w:cs="Arial"/>
          <w:b/>
        </w:rPr>
        <w:t>PROJETO DE LEI Nº ___/2026</w:t>
      </w:r>
    </w:p>
    <w:p w:rsidR="008B4060" w:rsidRPr="00852F40" w:rsidRDefault="008B4060" w:rsidP="00852F40">
      <w:pPr>
        <w:ind w:firstLine="0"/>
        <w:jc w:val="both"/>
        <w:rPr>
          <w:rFonts w:ascii="Arial" w:hAnsi="Arial" w:cs="Arial"/>
        </w:rPr>
      </w:pPr>
    </w:p>
    <w:p w:rsidR="008B4060" w:rsidRDefault="00A95597" w:rsidP="00A95597">
      <w:pPr>
        <w:ind w:left="3969" w:firstLine="0"/>
        <w:jc w:val="both"/>
        <w:rPr>
          <w:rFonts w:ascii="Arial" w:hAnsi="Arial" w:cs="Arial"/>
        </w:rPr>
      </w:pPr>
      <w:r w:rsidRPr="00A95597">
        <w:rPr>
          <w:rFonts w:ascii="Arial" w:hAnsi="Arial" w:cs="Arial"/>
        </w:rPr>
        <w:t>Altera a Lei n° 3.408, de 28 de dezembro de 2018, que Dispõe sobre a fixação, a contagem, a cobrança e o pagamento de emolumentos no exercício das atividades notariais e registrais, regulamenta o Fundo</w:t>
      </w:r>
      <w:r>
        <w:rPr>
          <w:rFonts w:ascii="Arial" w:hAnsi="Arial" w:cs="Arial"/>
        </w:rPr>
        <w:t xml:space="preserve"> </w:t>
      </w:r>
      <w:r w:rsidRPr="00A95597">
        <w:rPr>
          <w:rFonts w:ascii="Arial" w:hAnsi="Arial" w:cs="Arial"/>
        </w:rPr>
        <w:t>Especial de</w:t>
      </w:r>
      <w:r>
        <w:rPr>
          <w:rFonts w:ascii="Arial" w:hAnsi="Arial" w:cs="Arial"/>
        </w:rPr>
        <w:t xml:space="preserve"> </w:t>
      </w:r>
      <w:r w:rsidRPr="00A95597">
        <w:rPr>
          <w:rFonts w:ascii="Arial" w:hAnsi="Arial" w:cs="Arial"/>
        </w:rPr>
        <w:t>Compensação da Gratuidade dos Atos do Registro Civil de Pessoas Naturais</w:t>
      </w:r>
      <w:r>
        <w:rPr>
          <w:rFonts w:ascii="Arial" w:hAnsi="Arial" w:cs="Arial"/>
        </w:rPr>
        <w:t xml:space="preserve"> </w:t>
      </w:r>
      <w:r w:rsidRPr="00A95597">
        <w:rPr>
          <w:rFonts w:ascii="Arial" w:hAnsi="Arial" w:cs="Arial"/>
        </w:rPr>
        <w:t>(FUNCIVIL)</w:t>
      </w:r>
      <w:r>
        <w:rPr>
          <w:rFonts w:ascii="Arial" w:hAnsi="Arial" w:cs="Arial"/>
        </w:rPr>
        <w:t xml:space="preserve"> </w:t>
      </w:r>
      <w:r w:rsidRPr="00A95597">
        <w:rPr>
          <w:rFonts w:ascii="Arial" w:hAnsi="Arial" w:cs="Arial"/>
        </w:rPr>
        <w:t>e</w:t>
      </w:r>
      <w:r>
        <w:rPr>
          <w:rFonts w:ascii="Arial" w:hAnsi="Arial" w:cs="Arial"/>
        </w:rPr>
        <w:t xml:space="preserve"> </w:t>
      </w:r>
      <w:r w:rsidRPr="00A95597">
        <w:rPr>
          <w:rFonts w:ascii="Arial" w:hAnsi="Arial" w:cs="Arial"/>
        </w:rPr>
        <w:t>adota</w:t>
      </w:r>
      <w:r>
        <w:rPr>
          <w:rFonts w:ascii="Arial" w:hAnsi="Arial" w:cs="Arial"/>
        </w:rPr>
        <w:t xml:space="preserve"> </w:t>
      </w:r>
      <w:r w:rsidRPr="00A95597">
        <w:rPr>
          <w:rFonts w:ascii="Arial" w:hAnsi="Arial" w:cs="Arial"/>
        </w:rPr>
        <w:t>outras</w:t>
      </w:r>
      <w:r>
        <w:rPr>
          <w:rFonts w:ascii="Arial" w:hAnsi="Arial" w:cs="Arial"/>
        </w:rPr>
        <w:t xml:space="preserve"> </w:t>
      </w:r>
      <w:r w:rsidRPr="00A95597">
        <w:rPr>
          <w:rFonts w:ascii="Arial" w:hAnsi="Arial" w:cs="Arial"/>
        </w:rPr>
        <w:t>providências.</w:t>
      </w:r>
    </w:p>
    <w:p w:rsidR="00A95597" w:rsidRPr="00852F40" w:rsidRDefault="00A95597" w:rsidP="00A95597">
      <w:pPr>
        <w:ind w:left="3969" w:firstLine="0"/>
        <w:jc w:val="both"/>
        <w:rPr>
          <w:rFonts w:ascii="Arial" w:hAnsi="Arial" w:cs="Arial"/>
        </w:rPr>
      </w:pPr>
    </w:p>
    <w:p w:rsidR="00A95597" w:rsidRDefault="00A95597" w:rsidP="00852F40">
      <w:pPr>
        <w:ind w:firstLine="0"/>
        <w:jc w:val="both"/>
        <w:rPr>
          <w:rFonts w:ascii="Arial" w:hAnsi="Arial" w:cs="Arial"/>
          <w:b/>
        </w:rPr>
      </w:pPr>
      <w:r w:rsidRPr="00A95597">
        <w:rPr>
          <w:rFonts w:ascii="Arial" w:hAnsi="Arial" w:cs="Arial"/>
          <w:b/>
        </w:rPr>
        <w:t>A ASSEMBLEIA LEGISLATIVA DO ESTADO DO TOCANTINS, decreta:</w:t>
      </w:r>
    </w:p>
    <w:p w:rsidR="00852F40" w:rsidRDefault="00852F40" w:rsidP="00852F40">
      <w:pPr>
        <w:ind w:firstLine="0"/>
        <w:jc w:val="both"/>
        <w:rPr>
          <w:rFonts w:ascii="Arial" w:hAnsi="Arial" w:cs="Arial"/>
        </w:rPr>
      </w:pPr>
      <w:r w:rsidRPr="00A95597">
        <w:rPr>
          <w:rFonts w:ascii="Arial" w:hAnsi="Arial" w:cs="Arial"/>
        </w:rPr>
        <w:t>Art. 1º</w:t>
      </w:r>
      <w:r w:rsidRPr="00852F40">
        <w:rPr>
          <w:rFonts w:ascii="Arial" w:hAnsi="Arial" w:cs="Arial"/>
          <w:b/>
        </w:rPr>
        <w:t xml:space="preserve"> </w:t>
      </w:r>
      <w:r w:rsidR="00A95597" w:rsidRPr="00A95597">
        <w:rPr>
          <w:rFonts w:ascii="Arial" w:hAnsi="Arial" w:cs="Arial"/>
        </w:rPr>
        <w:t>Acrescente-se o inciso IV ao art. 4° da Lei Estadual n° 3.408, de 28 de dezembro de 2018, com a seguinte redação:</w:t>
      </w:r>
    </w:p>
    <w:p w:rsidR="008B4060" w:rsidRPr="00852F40" w:rsidRDefault="00852F40" w:rsidP="00852F40">
      <w:pPr>
        <w:ind w:firstLine="0"/>
        <w:jc w:val="both"/>
        <w:rPr>
          <w:rFonts w:ascii="Arial" w:hAnsi="Arial" w:cs="Arial"/>
        </w:rPr>
      </w:pPr>
      <w:r w:rsidRPr="00A95597">
        <w:rPr>
          <w:rFonts w:ascii="Arial" w:hAnsi="Arial" w:cs="Arial"/>
        </w:rPr>
        <w:t>Art. 4º</w:t>
      </w:r>
      <w:r w:rsidR="00A95597">
        <w:rPr>
          <w:rFonts w:ascii="Arial" w:hAnsi="Arial" w:cs="Arial"/>
        </w:rPr>
        <w:t>……………………………………………………………………………………………….</w:t>
      </w:r>
    </w:p>
    <w:p w:rsidR="00A95597" w:rsidRPr="00A95597" w:rsidRDefault="00A95597" w:rsidP="00A95597">
      <w:pPr>
        <w:ind w:firstLine="0"/>
        <w:jc w:val="both"/>
        <w:rPr>
          <w:rFonts w:ascii="Arial" w:hAnsi="Arial" w:cs="Arial"/>
        </w:rPr>
      </w:pPr>
      <w:r w:rsidRPr="00A95597">
        <w:rPr>
          <w:rFonts w:ascii="Arial" w:hAnsi="Arial" w:cs="Arial"/>
        </w:rPr>
        <w:t>IV- os emolumentos referente aos atos relativos a situações jurídicas sem conteúdo financeiro, notadamente os previstos no art. 213 da Lei 6.015/1973, com as alterações da Lei 14. 382/2022 (Lei dos Registros Públicos), obedecerão aos seguintes critérios:</w:t>
      </w:r>
    </w:p>
    <w:p w:rsidR="00A95597" w:rsidRPr="00A95597" w:rsidRDefault="00A95597" w:rsidP="00A95597">
      <w:pPr>
        <w:ind w:firstLine="0"/>
        <w:jc w:val="both"/>
        <w:rPr>
          <w:rFonts w:ascii="Arial" w:hAnsi="Arial" w:cs="Arial"/>
        </w:rPr>
      </w:pPr>
      <w:r w:rsidRPr="00A95597">
        <w:rPr>
          <w:rFonts w:ascii="Arial" w:hAnsi="Arial" w:cs="Arial"/>
        </w:rPr>
        <w:t>a) quando não houver alteração da descrição do perímetro do imóvel urbano, adotar-se-á o valor do item I, da tabela anexa (fls. 10).</w:t>
      </w:r>
    </w:p>
    <w:p w:rsidR="00852F40" w:rsidRDefault="00A95597" w:rsidP="00A95597">
      <w:pPr>
        <w:ind w:firstLine="0"/>
        <w:jc w:val="both"/>
        <w:rPr>
          <w:rFonts w:ascii="Arial" w:hAnsi="Arial" w:cs="Arial"/>
          <w:b/>
        </w:rPr>
      </w:pPr>
      <w:r w:rsidRPr="00A95597">
        <w:rPr>
          <w:rFonts w:ascii="Arial" w:hAnsi="Arial" w:cs="Arial"/>
        </w:rPr>
        <w:t>b) quando houver alteração da descrição do perimetro, no caso de imóvel urbano, indicado acréscimo patrimonial em beneficio do proprietário, o valor dos emolumentos será o fixado no item Il da tabela anexa, para cada metro quadrado que exceder a área objeto da retificação". (NR)</w:t>
      </w:r>
    </w:p>
    <w:p w:rsidR="00852F40" w:rsidRPr="00A95597" w:rsidRDefault="00852F40" w:rsidP="00A95597">
      <w:pPr>
        <w:ind w:firstLine="0"/>
        <w:jc w:val="both"/>
        <w:rPr>
          <w:rFonts w:ascii="Arial" w:hAnsi="Arial" w:cs="Arial"/>
        </w:rPr>
      </w:pPr>
      <w:r w:rsidRPr="00852F40">
        <w:rPr>
          <w:rFonts w:ascii="Arial" w:hAnsi="Arial" w:cs="Arial"/>
          <w:b/>
        </w:rPr>
        <w:t xml:space="preserve">Art. 2º </w:t>
      </w:r>
      <w:r w:rsidRPr="00852F40">
        <w:rPr>
          <w:rFonts w:ascii="Arial" w:hAnsi="Arial" w:cs="Arial"/>
        </w:rPr>
        <w:t>Esta Lei entra em vigor na data de sua publicação.</w:t>
      </w:r>
      <w:r w:rsidRPr="00852F40">
        <w:rPr>
          <w:rFonts w:ascii="Arial" w:hAnsi="Arial" w:cs="Arial"/>
          <w:b/>
        </w:rPr>
        <w:br w:type="page"/>
      </w:r>
    </w:p>
    <w:p w:rsidR="008B4060" w:rsidRPr="00852F40" w:rsidRDefault="00852F40" w:rsidP="00852F40">
      <w:pPr>
        <w:ind w:firstLine="0"/>
        <w:jc w:val="both"/>
        <w:rPr>
          <w:rFonts w:ascii="Arial" w:hAnsi="Arial" w:cs="Arial"/>
        </w:rPr>
      </w:pPr>
      <w:r w:rsidRPr="00852F40">
        <w:rPr>
          <w:rFonts w:ascii="Arial" w:hAnsi="Arial" w:cs="Arial"/>
          <w:b/>
        </w:rPr>
        <w:lastRenderedPageBreak/>
        <w:t>JUSTIFICATIVA</w:t>
      </w:r>
    </w:p>
    <w:p w:rsidR="00A95597" w:rsidRPr="00A95597" w:rsidRDefault="00A95597" w:rsidP="00A95597">
      <w:pPr>
        <w:ind w:firstLine="0"/>
        <w:jc w:val="both"/>
        <w:rPr>
          <w:rFonts w:ascii="Arial" w:hAnsi="Arial" w:cs="Arial"/>
        </w:rPr>
      </w:pPr>
      <w:r w:rsidRPr="00A95597">
        <w:rPr>
          <w:rFonts w:ascii="Arial" w:hAnsi="Arial" w:cs="Arial"/>
        </w:rPr>
        <w:t>A mudança aditiva que se propõe na presente lei, tem como finalidade exclusiva, corrigir uma pequena lacuna da redação original, que por falta de melhor precisão na técnica legislativa, enseja uma grande distorção no ato da cobrança dos valores das taxas e emolumentos por parte de alguns notários e registradores.</w:t>
      </w:r>
    </w:p>
    <w:p w:rsidR="00A95597" w:rsidRPr="00A95597" w:rsidRDefault="00A95597" w:rsidP="00A95597">
      <w:pPr>
        <w:ind w:firstLine="0"/>
        <w:jc w:val="both"/>
        <w:rPr>
          <w:rFonts w:ascii="Arial" w:hAnsi="Arial" w:cs="Arial"/>
        </w:rPr>
      </w:pPr>
      <w:r w:rsidRPr="00A95597">
        <w:rPr>
          <w:rFonts w:ascii="Arial" w:hAnsi="Arial" w:cs="Arial"/>
        </w:rPr>
        <w:t>Trata-se no caso, dos emolumentos cobrados pelos notários e</w:t>
      </w:r>
    </w:p>
    <w:p w:rsidR="00A95597" w:rsidRPr="00A95597" w:rsidRDefault="00A95597" w:rsidP="00A95597">
      <w:pPr>
        <w:ind w:firstLine="0"/>
        <w:jc w:val="both"/>
        <w:rPr>
          <w:rFonts w:ascii="Arial" w:hAnsi="Arial" w:cs="Arial"/>
        </w:rPr>
      </w:pPr>
      <w:r w:rsidRPr="00A95597">
        <w:rPr>
          <w:rFonts w:ascii="Arial" w:hAnsi="Arial" w:cs="Arial"/>
        </w:rPr>
        <w:t>registradores pelo processamento de Retificação Administrativa de Matrícula de imóveis urbanos, que embora não possua conteúdo financeiro, adota-se como base de cálculo, o valor do metro quadro do imóvel, ocorrendo ou não, o acréscimo do perímetro da área retificada como ganho da capital do proprietário interessado.</w:t>
      </w:r>
    </w:p>
    <w:p w:rsidR="00A95597" w:rsidRPr="00A95597" w:rsidRDefault="00A95597" w:rsidP="00A95597">
      <w:pPr>
        <w:ind w:firstLine="0"/>
        <w:jc w:val="both"/>
        <w:rPr>
          <w:rFonts w:ascii="Arial" w:hAnsi="Arial" w:cs="Arial"/>
        </w:rPr>
      </w:pPr>
      <w:r w:rsidRPr="00A95597">
        <w:rPr>
          <w:rFonts w:ascii="Arial" w:hAnsi="Arial" w:cs="Arial"/>
        </w:rPr>
        <w:t>Neste contexto, aplicando-se a tabela vigente, prevista pelo provimento n° 12/2025, item 3.5, Il, uma simples averbação de retificação, com ou sem acréscimo da área, no Município de Miranorte, por exemplo, pode chegar ao estrondoso valor de R$ 21.023,99, conforme se extrai do boleto anexo.</w:t>
      </w:r>
    </w:p>
    <w:p w:rsidR="00852F40" w:rsidRDefault="00A95597" w:rsidP="00A95597">
      <w:pPr>
        <w:ind w:firstLine="0"/>
        <w:jc w:val="both"/>
        <w:rPr>
          <w:rFonts w:ascii="Arial" w:hAnsi="Arial" w:cs="Arial"/>
        </w:rPr>
      </w:pPr>
      <w:r w:rsidRPr="00A95597">
        <w:rPr>
          <w:rFonts w:ascii="Arial" w:hAnsi="Arial" w:cs="Arial"/>
        </w:rPr>
        <w:t>Ora, a retificação de matrícula imobiliária, é um ato administrativo sem conteúdo financeiro que via de regra não traz nenhum ganho de capital para o proprietário; não justificando a oneração de quem já paga o imposto territorial e recorre ao cartório apenas para corrigir eventuais erros e imprecisões de seu registro</w:t>
      </w:r>
      <w:r>
        <w:rPr>
          <w:rFonts w:ascii="Arial" w:hAnsi="Arial" w:cs="Arial"/>
        </w:rPr>
        <w:t>.</w:t>
      </w:r>
    </w:p>
    <w:p w:rsidR="00A95597" w:rsidRDefault="00A95597" w:rsidP="00A95597">
      <w:pPr>
        <w:ind w:firstLine="0"/>
        <w:jc w:val="both"/>
        <w:rPr>
          <w:rFonts w:ascii="Arial" w:hAnsi="Arial" w:cs="Arial"/>
        </w:rPr>
      </w:pPr>
    </w:p>
    <w:p w:rsidR="00A95597" w:rsidRPr="00A95597" w:rsidRDefault="00A95597" w:rsidP="00A95597">
      <w:pPr>
        <w:pStyle w:val="SemEspaamento"/>
        <w:jc w:val="center"/>
        <w:rPr>
          <w:rFonts w:ascii="Arial" w:hAnsi="Arial" w:cs="Arial"/>
          <w:b/>
          <w:sz w:val="24"/>
          <w:szCs w:val="24"/>
        </w:rPr>
      </w:pPr>
      <w:r w:rsidRPr="00A95597">
        <w:rPr>
          <w:rFonts w:ascii="Arial" w:hAnsi="Arial" w:cs="Arial"/>
          <w:b/>
          <w:sz w:val="24"/>
          <w:szCs w:val="24"/>
        </w:rPr>
        <w:t>Ivory de Lira</w:t>
      </w:r>
    </w:p>
    <w:p w:rsidR="00A95597" w:rsidRPr="00A95597" w:rsidRDefault="00A95597" w:rsidP="00A95597">
      <w:pPr>
        <w:pStyle w:val="SemEspaamento"/>
        <w:jc w:val="center"/>
        <w:rPr>
          <w:rFonts w:ascii="Arial" w:hAnsi="Arial" w:cs="Arial"/>
          <w:b/>
          <w:sz w:val="24"/>
          <w:szCs w:val="24"/>
        </w:rPr>
      </w:pPr>
      <w:r w:rsidRPr="00A95597">
        <w:rPr>
          <w:rFonts w:ascii="Arial" w:hAnsi="Arial" w:cs="Arial"/>
          <w:b/>
          <w:sz w:val="24"/>
          <w:szCs w:val="24"/>
        </w:rPr>
        <w:t>Deputado Estadual</w:t>
      </w:r>
    </w:p>
    <w:sectPr w:rsidR="00A95597" w:rsidRPr="00A95597" w:rsidSect="00034616">
      <w:headerReference w:type="default" r:id="rId8"/>
      <w:footerReference w:type="default" r:id="rId9"/>
      <w:pgSz w:w="12240" w:h="15840"/>
      <w:pgMar w:top="1701"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060" w:rsidRDefault="008B4060" w:rsidP="008B4060">
      <w:pPr>
        <w:spacing w:after="0" w:line="240" w:lineRule="auto"/>
      </w:pPr>
      <w:r>
        <w:separator/>
      </w:r>
    </w:p>
  </w:endnote>
  <w:endnote w:type="continuationSeparator" w:id="1">
    <w:p w:rsidR="008B4060" w:rsidRDefault="008B4060" w:rsidP="008B40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F40" w:rsidRDefault="00852F40" w:rsidP="00852F40">
    <w:pPr>
      <w:pBdr>
        <w:top w:val="single" w:sz="4" w:space="1" w:color="000000"/>
        <w:left w:val="nil"/>
        <w:bottom w:val="nil"/>
        <w:right w:val="nil"/>
        <w:between w:val="nil"/>
      </w:pBdr>
      <w:tabs>
        <w:tab w:val="center" w:pos="4252"/>
        <w:tab w:val="right" w:pos="8504"/>
      </w:tabs>
      <w:spacing w:after="0" w:line="240" w:lineRule="auto"/>
      <w:jc w:val="center"/>
      <w:rPr>
        <w:color w:val="000000"/>
        <w:sz w:val="18"/>
        <w:szCs w:val="18"/>
      </w:rPr>
    </w:pPr>
    <w:r>
      <w:rPr>
        <w:color w:val="000000"/>
        <w:sz w:val="18"/>
        <w:szCs w:val="18"/>
      </w:rPr>
      <w:t>Gabinete do Deputado Ivory de Lira</w:t>
    </w:r>
  </w:p>
  <w:p w:rsidR="00852F40" w:rsidRDefault="00852F40" w:rsidP="00852F40">
    <w:pPr>
      <w:pBdr>
        <w:top w:val="nil"/>
        <w:left w:val="nil"/>
        <w:bottom w:val="nil"/>
        <w:right w:val="nil"/>
        <w:between w:val="nil"/>
      </w:pBdr>
      <w:tabs>
        <w:tab w:val="center" w:pos="4252"/>
        <w:tab w:val="right" w:pos="8504"/>
      </w:tabs>
      <w:spacing w:after="0" w:line="240" w:lineRule="auto"/>
      <w:jc w:val="center"/>
      <w:rPr>
        <w:color w:val="000000"/>
        <w:sz w:val="18"/>
        <w:szCs w:val="18"/>
      </w:rPr>
    </w:pPr>
    <w:r>
      <w:rPr>
        <w:color w:val="000000"/>
        <w:sz w:val="18"/>
        <w:szCs w:val="18"/>
      </w:rPr>
      <w:t>Praça dos Girassóis, s/n – CEP: 77000-000 Palmas - TO</w:t>
    </w:r>
  </w:p>
  <w:p w:rsidR="00852F40" w:rsidRPr="00852F40" w:rsidRDefault="00852F40" w:rsidP="00852F40">
    <w:pPr>
      <w:pBdr>
        <w:top w:val="nil"/>
        <w:left w:val="nil"/>
        <w:bottom w:val="nil"/>
        <w:right w:val="nil"/>
        <w:between w:val="nil"/>
      </w:pBdr>
      <w:tabs>
        <w:tab w:val="center" w:pos="4252"/>
        <w:tab w:val="right" w:pos="8504"/>
      </w:tabs>
      <w:spacing w:after="0" w:line="240" w:lineRule="auto"/>
      <w:jc w:val="center"/>
      <w:rPr>
        <w:color w:val="000000"/>
        <w:sz w:val="18"/>
        <w:szCs w:val="18"/>
      </w:rPr>
    </w:pPr>
    <w:r>
      <w:rPr>
        <w:color w:val="000000"/>
        <w:sz w:val="18"/>
        <w:szCs w:val="18"/>
      </w:rPr>
      <w:t>Fone: (63) 3212-5023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060" w:rsidRDefault="008B4060" w:rsidP="008B4060">
      <w:pPr>
        <w:spacing w:after="0" w:line="240" w:lineRule="auto"/>
      </w:pPr>
      <w:r>
        <w:separator/>
      </w:r>
    </w:p>
  </w:footnote>
  <w:footnote w:type="continuationSeparator" w:id="1">
    <w:p w:rsidR="008B4060" w:rsidRDefault="008B4060" w:rsidP="008B40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F40" w:rsidRDefault="00852F40" w:rsidP="00852F40">
    <w:pPr>
      <w:spacing w:after="0" w:line="240" w:lineRule="auto"/>
      <w:jc w:val="center"/>
      <w:rPr>
        <w:noProof/>
      </w:rPr>
    </w:pPr>
    <w:r>
      <w:rPr>
        <w:noProof/>
        <w:lang w:val="pt-BR" w:eastAsia="pt-BR"/>
      </w:rPr>
      <w:drawing>
        <wp:anchor distT="0" distB="0" distL="114300" distR="114300" simplePos="0" relativeHeight="251659264" behindDoc="0" locked="0" layoutInCell="1" allowOverlap="1">
          <wp:simplePos x="0" y="0"/>
          <wp:positionH relativeFrom="column">
            <wp:posOffset>2657475</wp:posOffset>
          </wp:positionH>
          <wp:positionV relativeFrom="paragraph">
            <wp:posOffset>-81915</wp:posOffset>
          </wp:positionV>
          <wp:extent cx="751840" cy="914400"/>
          <wp:effectExtent l="1905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840" cy="914400"/>
                  </a:xfrm>
                  <a:prstGeom prst="rect">
                    <a:avLst/>
                  </a:prstGeom>
                  <a:ln/>
                </pic:spPr>
              </pic:pic>
            </a:graphicData>
          </a:graphic>
        </wp:anchor>
      </w:drawing>
    </w:r>
  </w:p>
  <w:p w:rsidR="00852F40" w:rsidRDefault="00852F40" w:rsidP="00852F40">
    <w:pPr>
      <w:spacing w:after="0" w:line="240" w:lineRule="auto"/>
      <w:jc w:val="center"/>
    </w:pPr>
  </w:p>
  <w:p w:rsidR="00852F40" w:rsidRDefault="00852F40" w:rsidP="00852F40">
    <w:pPr>
      <w:spacing w:after="0" w:line="240" w:lineRule="auto"/>
      <w:jc w:val="center"/>
    </w:pPr>
  </w:p>
  <w:p w:rsidR="00852F40" w:rsidRDefault="00852F40" w:rsidP="00852F40">
    <w:pPr>
      <w:spacing w:after="0" w:line="240" w:lineRule="auto"/>
      <w:jc w:val="center"/>
    </w:pPr>
  </w:p>
  <w:p w:rsidR="00852F40" w:rsidRDefault="00852F40" w:rsidP="00852F40">
    <w:pPr>
      <w:spacing w:after="0" w:line="240" w:lineRule="auto"/>
      <w:jc w:val="center"/>
    </w:pPr>
  </w:p>
  <w:p w:rsidR="00852F40" w:rsidRPr="00852F40" w:rsidRDefault="00852F40" w:rsidP="00852F40">
    <w:pPr>
      <w:spacing w:after="0" w:line="240" w:lineRule="auto"/>
      <w:ind w:firstLine="0"/>
      <w:jc w:val="center"/>
      <w:rPr>
        <w:rFonts w:ascii="Arial" w:hAnsi="Arial" w:cs="Arial"/>
        <w:sz w:val="20"/>
        <w:szCs w:val="20"/>
      </w:rPr>
    </w:pPr>
    <w:r w:rsidRPr="00852F40">
      <w:rPr>
        <w:rFonts w:ascii="Arial" w:hAnsi="Arial" w:cs="Arial"/>
        <w:sz w:val="20"/>
        <w:szCs w:val="20"/>
      </w:rPr>
      <w:t>ESTADO DO TOCANTINS</w:t>
    </w:r>
  </w:p>
  <w:p w:rsidR="00852F40" w:rsidRPr="00852F40" w:rsidRDefault="00852F40" w:rsidP="00852F40">
    <w:pPr>
      <w:spacing w:after="0" w:line="240" w:lineRule="auto"/>
      <w:ind w:firstLine="0"/>
      <w:jc w:val="center"/>
      <w:rPr>
        <w:rFonts w:ascii="Arial" w:hAnsi="Arial" w:cs="Arial"/>
        <w:sz w:val="20"/>
        <w:szCs w:val="20"/>
      </w:rPr>
    </w:pPr>
    <w:r w:rsidRPr="00852F40">
      <w:rPr>
        <w:rFonts w:ascii="Arial" w:hAnsi="Arial" w:cs="Arial"/>
        <w:sz w:val="20"/>
        <w:szCs w:val="20"/>
      </w:rPr>
      <w:t>PODER LEGISLATIVO</w:t>
    </w:r>
  </w:p>
  <w:p w:rsidR="00852F40" w:rsidRPr="00852F40" w:rsidRDefault="00852F40" w:rsidP="00852F40">
    <w:pPr>
      <w:pBdr>
        <w:bottom w:val="single" w:sz="4" w:space="1" w:color="000000"/>
      </w:pBdr>
      <w:spacing w:after="0" w:line="240" w:lineRule="auto"/>
      <w:ind w:firstLine="0"/>
      <w:jc w:val="center"/>
      <w:rPr>
        <w:rFonts w:ascii="Arial" w:hAnsi="Arial" w:cs="Arial"/>
        <w:sz w:val="20"/>
        <w:szCs w:val="20"/>
      </w:rPr>
    </w:pPr>
    <w:r w:rsidRPr="00852F40">
      <w:rPr>
        <w:rFonts w:ascii="Arial" w:hAnsi="Arial" w:cs="Arial"/>
        <w:b/>
        <w:sz w:val="20"/>
        <w:szCs w:val="20"/>
      </w:rPr>
      <w:t>Gabinete Deputado IVORY DE LIRA</w:t>
    </w:r>
  </w:p>
  <w:p w:rsidR="008B4060" w:rsidRPr="00852F40" w:rsidRDefault="008B4060" w:rsidP="00852F40">
    <w:pPr>
      <w:pStyle w:val="Cabealho"/>
      <w:ind w:firstLine="0"/>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nsid w:val="591F4F82"/>
    <w:multiLevelType w:val="hybridMultilevel"/>
    <w:tmpl w:val="6A165A2A"/>
    <w:lvl w:ilvl="0" w:tplc="5B0C61F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B47730"/>
    <w:rsid w:val="00034616"/>
    <w:rsid w:val="0006063C"/>
    <w:rsid w:val="0015074B"/>
    <w:rsid w:val="0029639D"/>
    <w:rsid w:val="00326F90"/>
    <w:rsid w:val="00583BF6"/>
    <w:rsid w:val="00852F40"/>
    <w:rsid w:val="008B4060"/>
    <w:rsid w:val="00A95597"/>
    <w:rsid w:val="00AA1D8D"/>
    <w:rsid w:val="00B47730"/>
    <w:rsid w:val="00CB0664"/>
    <w:rsid w:val="00FC693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60" w:lineRule="auto"/>
      <w:ind w:firstLine="709"/>
    </w:pPr>
    <w:rPr>
      <w:rFonts w:ascii="Times New Roman" w:hAnsi="Times New Roman"/>
      <w:sz w:val="24"/>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415</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Hethiene Gontijo Oliveira</cp:lastModifiedBy>
  <cp:revision>3</cp:revision>
  <cp:lastPrinted>2026-07-01T13:34:00Z</cp:lastPrinted>
  <dcterms:created xsi:type="dcterms:W3CDTF">2026-04-22T15:21:00Z</dcterms:created>
  <dcterms:modified xsi:type="dcterms:W3CDTF">2026-07-01T13:50:00Z</dcterms:modified>
</cp:coreProperties>
</file>