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76F" w:rsidRPr="003E241B" w:rsidRDefault="00B2676F" w:rsidP="00B2676F">
      <w:pPr>
        <w:rPr>
          <w:rFonts w:ascii="Times New Roman" w:hAnsi="Times New Roman" w:cs="Times New Roman"/>
          <w:b/>
          <w:bCs/>
        </w:rPr>
      </w:pPr>
      <w:r w:rsidRPr="003E241B">
        <w:rPr>
          <w:rFonts w:ascii="Times New Roman" w:hAnsi="Times New Roman" w:cs="Times New Roman"/>
          <w:b/>
          <w:bCs/>
        </w:rPr>
        <w:t xml:space="preserve">PROJETO DE LEI Nº </w:t>
      </w:r>
      <w:r>
        <w:rPr>
          <w:rFonts w:ascii="Times New Roman" w:hAnsi="Times New Roman" w:cs="Times New Roman"/>
          <w:b/>
          <w:bCs/>
        </w:rPr>
        <w:t xml:space="preserve">      </w:t>
      </w:r>
      <w:r w:rsidRPr="003E241B">
        <w:rPr>
          <w:rFonts w:ascii="Times New Roman" w:hAnsi="Times New Roman" w:cs="Times New Roman"/>
          <w:b/>
          <w:bCs/>
        </w:rPr>
        <w:t>/2026</w:t>
      </w:r>
    </w:p>
    <w:p w:rsidR="00B2676F" w:rsidRPr="00B2676F" w:rsidRDefault="00B2676F" w:rsidP="00B2676F">
      <w:pPr>
        <w:spacing w:after="400" w:line="320" w:lineRule="auto"/>
        <w:ind w:left="2832" w:firstLine="708"/>
        <w:jc w:val="both"/>
        <w:rPr>
          <w:rFonts w:ascii="Times New Roman" w:hAnsi="Times New Roman" w:cs="Times New Roman"/>
          <w:i/>
          <w:sz w:val="24"/>
          <w:szCs w:val="24"/>
        </w:rPr>
      </w:pPr>
      <w:r w:rsidRPr="00B2676F">
        <w:rPr>
          <w:rFonts w:ascii="Times New Roman" w:hAnsi="Times New Roman" w:cs="Times New Roman"/>
          <w:i/>
          <w:sz w:val="24"/>
          <w:szCs w:val="24"/>
        </w:rPr>
        <w:t>Acrescenta dispositivos à Lei nº 4.106, de 2 de janeiro de 2023, que institui a Política Estadual de Proteção dos Direitos da Pessoa com Transtorno do Espectro Autista - PEPTEA, no âmbito do Estado do Tocantins, para instituir canal estadual de atendimento e denúncia.</w:t>
      </w:r>
    </w:p>
    <w:p w:rsidR="00B2676F" w:rsidRPr="00B2676F" w:rsidRDefault="00B2676F" w:rsidP="00B2676F">
      <w:pPr>
        <w:jc w:val="center"/>
        <w:rPr>
          <w:rFonts w:ascii="Times New Roman" w:hAnsi="Times New Roman" w:cs="Times New Roman"/>
          <w:b/>
          <w:sz w:val="24"/>
          <w:szCs w:val="24"/>
        </w:rPr>
      </w:pPr>
      <w:r w:rsidRPr="00B2676F">
        <w:rPr>
          <w:rFonts w:ascii="Times New Roman" w:hAnsi="Times New Roman" w:cs="Times New Roman"/>
          <w:b/>
          <w:sz w:val="24"/>
          <w:szCs w:val="24"/>
        </w:rPr>
        <w:t>A ASSEMBLEIA LEGISLATIVA DO ESTADO DO TOCANTINS decreta:</w:t>
      </w:r>
    </w:p>
    <w:p w:rsidR="00B2676F" w:rsidRPr="00B2676F" w:rsidRDefault="00B2676F" w:rsidP="00B2676F">
      <w:pPr>
        <w:jc w:val="both"/>
        <w:rPr>
          <w:rFonts w:ascii="Times New Roman" w:hAnsi="Times New Roman" w:cs="Times New Roman"/>
          <w:b/>
          <w:sz w:val="24"/>
          <w:szCs w:val="24"/>
        </w:rPr>
      </w:pPr>
    </w:p>
    <w:p w:rsidR="00B2676F" w:rsidRPr="00B2676F" w:rsidRDefault="00B2676F" w:rsidP="00B2676F">
      <w:pPr>
        <w:jc w:val="both"/>
        <w:rPr>
          <w:rFonts w:ascii="Times New Roman" w:hAnsi="Times New Roman" w:cs="Times New Roman"/>
          <w:b/>
          <w:sz w:val="24"/>
          <w:szCs w:val="24"/>
        </w:rPr>
      </w:pPr>
      <w:r w:rsidRPr="00B2676F">
        <w:rPr>
          <w:rFonts w:ascii="Times New Roman" w:hAnsi="Times New Roman" w:cs="Times New Roman"/>
          <w:sz w:val="24"/>
          <w:szCs w:val="24"/>
        </w:rPr>
        <w:t>Art. 1º A Lei nº 4.106, de 2 de janeiro de 2023, passa a vigorar acrescida dos arts. 4º-A e 4º-B, com a seguinte redação:</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"Art. 4º-A. Fica instituído o Disque Autismo, canal gratuito destinado ao recebimento de denúncias de violação dos direitos previstos no art. 4º desta Lei, bem como à orientação de pessoas com Transtorno do Espectro Autista - TEA, de suas famílias e de seus responsáveis quanto ao acesso a ações e serviços públicos.</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§1º O Disque Autismo poderá ser implementado mediante integração a canais de atendimento, ouvidoria ou disque-denúncia já existentes na Administração Pública estadual, dispensada a criação de estrutura administrativa própria.</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§2º O atendimento será prestado por telefonia gratuita e, de forma complementar, por meios digitais, incluídos sítio eletrônico oficial e aplicativos de mensagens.</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§3º Fica assegurado o sigilo dos dados do denunciante, admitida a denúncia anônima.</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§4º As denúncias recebidas serão encaminhadas, conforme a natureza dos fatos, ao Ministério Público, à autoridade policial, ao Conselho Tutelar, quando envolver criança ou adolescente, e aos demais órgãos competentes, para adoção das medidas cabíveis.</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lastRenderedPageBreak/>
        <w:t>§5º A coordenação do Disque Autismo caberá ao órgão da Administração Pública estadual responsável pela política de proteção dos direitos da pessoa com deficiência, em articulação com as pastas da Saúde, da Educação, da Assistência Social e da Segurança Pública.</w:t>
      </w:r>
    </w:p>
    <w:p w:rsidR="00B2676F" w:rsidRPr="00B2676F" w:rsidRDefault="00B2676F" w:rsidP="00B2676F">
      <w:pPr>
        <w:spacing w:line="320" w:lineRule="auto"/>
        <w:ind w:left="1134" w:firstLine="425"/>
        <w:jc w:val="both"/>
        <w:rPr>
          <w:rFonts w:ascii="Times New Roman" w:hAnsi="Times New Roman" w:cs="Times New Roman"/>
          <w:sz w:val="24"/>
          <w:szCs w:val="24"/>
        </w:rPr>
      </w:pPr>
      <w:r w:rsidRPr="00B2676F">
        <w:rPr>
          <w:rFonts w:ascii="Times New Roman" w:hAnsi="Times New Roman" w:cs="Times New Roman"/>
          <w:sz w:val="24"/>
          <w:szCs w:val="24"/>
        </w:rPr>
        <w:t>Art. 4º-B. O número do Disque Autismo e os demais meios de acesso ao canal serão divulgados nos sítios eletrônicos oficiais dos órgãos e entidades da Administração Pública estadual e nas unidades estaduais de saúde e de ensino.</w:t>
      </w:r>
    </w:p>
    <w:p w:rsidR="00B2676F" w:rsidRPr="00B2676F" w:rsidRDefault="00B2676F" w:rsidP="00B2676F">
      <w:pPr>
        <w:spacing w:after="300" w:line="320" w:lineRule="auto"/>
        <w:ind w:left="1134" w:firstLine="425"/>
        <w:jc w:val="both"/>
        <w:rPr>
          <w:rFonts w:ascii="Times New Roman" w:hAnsi="Times New Roman" w:cs="Times New Roman"/>
          <w:sz w:val="24"/>
          <w:szCs w:val="24"/>
        </w:rPr>
      </w:pPr>
      <w:r w:rsidRPr="00B2676F">
        <w:rPr>
          <w:rFonts w:ascii="Times New Roman" w:hAnsi="Times New Roman" w:cs="Times New Roman"/>
          <w:i/>
          <w:sz w:val="24"/>
          <w:szCs w:val="24"/>
        </w:rPr>
        <w:t>Parágrafo único</w:t>
      </w:r>
      <w:r w:rsidRPr="00B2676F">
        <w:rPr>
          <w:rFonts w:ascii="Times New Roman" w:hAnsi="Times New Roman" w:cs="Times New Roman"/>
          <w:sz w:val="24"/>
          <w:szCs w:val="24"/>
        </w:rPr>
        <w:t>. Os estabelecimentos privados de saúde e de ensino poderão aderir à divulgação de que trata o caput, na forma do regulamento." (NR)</w:t>
      </w:r>
    </w:p>
    <w:p w:rsidR="00B2676F" w:rsidRPr="00B2676F" w:rsidRDefault="00B2676F" w:rsidP="00B2676F">
      <w:pPr>
        <w:spacing w:after="300" w:line="320" w:lineRule="auto"/>
        <w:jc w:val="both"/>
        <w:rPr>
          <w:rFonts w:ascii="Times New Roman" w:hAnsi="Times New Roman" w:cs="Times New Roman"/>
          <w:sz w:val="24"/>
          <w:szCs w:val="24"/>
        </w:rPr>
      </w:pPr>
      <w:r w:rsidRPr="00B2676F">
        <w:rPr>
          <w:rFonts w:ascii="Times New Roman" w:hAnsi="Times New Roman" w:cs="Times New Roman"/>
          <w:sz w:val="24"/>
          <w:szCs w:val="24"/>
        </w:rPr>
        <w:t>Art. 2º O Poder Executivo regulamentará o disposto nesta Lei, definindo o prazo de implantação, o órgão gestor e os fluxos de encaminhamento das denúncias.</w:t>
      </w:r>
    </w:p>
    <w:p w:rsidR="00B2676F" w:rsidRPr="00B2676F" w:rsidRDefault="00B2676F" w:rsidP="00B2676F">
      <w:pPr>
        <w:spacing w:after="500" w:line="360" w:lineRule="auto"/>
        <w:jc w:val="both"/>
        <w:rPr>
          <w:rFonts w:ascii="Times New Roman" w:hAnsi="Times New Roman" w:cs="Times New Roman"/>
          <w:sz w:val="24"/>
          <w:szCs w:val="24"/>
        </w:rPr>
      </w:pPr>
      <w:r w:rsidRPr="00B2676F">
        <w:rPr>
          <w:rFonts w:ascii="Times New Roman" w:hAnsi="Times New Roman" w:cs="Times New Roman"/>
          <w:sz w:val="24"/>
          <w:szCs w:val="24"/>
        </w:rPr>
        <w:t>Art. 3º Esta Lei entra em vigor na data de sua publicação.</w:t>
      </w:r>
    </w:p>
    <w:p w:rsidR="00B2676F" w:rsidRPr="00AF39D0" w:rsidRDefault="00B2676F" w:rsidP="00B2676F">
      <w:pPr>
        <w:jc w:val="center"/>
        <w:rPr>
          <w:rFonts w:ascii="Times New Roman" w:hAnsi="Times New Roman" w:cs="Times New Roman"/>
          <w:b/>
          <w:sz w:val="24"/>
          <w:szCs w:val="24"/>
        </w:rPr>
      </w:pPr>
    </w:p>
    <w:p w:rsidR="00B2676F" w:rsidRPr="00B2676F" w:rsidRDefault="00B2676F" w:rsidP="00B2676F">
      <w:pPr>
        <w:jc w:val="center"/>
        <w:rPr>
          <w:rFonts w:ascii="Times New Roman" w:hAnsi="Times New Roman" w:cs="Times New Roman"/>
          <w:b/>
          <w:sz w:val="24"/>
          <w:szCs w:val="24"/>
        </w:rPr>
      </w:pPr>
      <w:r w:rsidRPr="00AF39D0">
        <w:rPr>
          <w:rFonts w:ascii="Times New Roman" w:hAnsi="Times New Roman" w:cs="Times New Roman"/>
          <w:b/>
          <w:sz w:val="24"/>
          <w:szCs w:val="24"/>
        </w:rPr>
        <w:t>JUSTIFICATIVA</w:t>
      </w:r>
    </w:p>
    <w:p w:rsidR="00B2676F" w:rsidRPr="00B2676F" w:rsidRDefault="00B2676F" w:rsidP="00B2676F">
      <w:pPr>
        <w:spacing w:after="200" w:line="240" w:lineRule="auto"/>
        <w:ind w:firstLine="708"/>
        <w:jc w:val="both"/>
        <w:rPr>
          <w:rFonts w:ascii="Times New Roman" w:hAnsi="Times New Roman" w:cs="Times New Roman"/>
          <w:sz w:val="24"/>
          <w:szCs w:val="24"/>
        </w:rPr>
      </w:pPr>
      <w:r w:rsidRPr="00B2676F">
        <w:rPr>
          <w:rFonts w:ascii="Times New Roman" w:hAnsi="Times New Roman" w:cs="Times New Roman"/>
          <w:sz w:val="24"/>
          <w:szCs w:val="24"/>
        </w:rPr>
        <w:t>A Lei Federal nº 12.764, de 27 de dezembro de 2012, instituiu a Política Nacional de Proteção dos Direitos da Pessoa com Transtorno do Espectro Autista e estabeleceu que a pessoa com TEA é considerada pessoa com deficiência para todos os efeitos legais. A Lei Federal nº 13.146, de 6 de julho de 2015, Estatuto da Pessoa com Deficiência, consolidou o dever do Poder Público de assegurar o exercício dos direitos dessa população em igualdade de condições. A Lei Federal nº 13.977, de 8 de janeiro de 2020, criou a Carteira de Identificação da Pessoa com Transtorno do Espectro Autista, regulamentada no Tocantins pelo Decreto Estadual nº 6.619, de 24 de abril de 2023.</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No plano estadual, a Lei nº 4.106, de 2 de janeiro de 2023, instituiu a Política Estadual de Proteção dos Direitos da Pessoa com Transtorno do Espectro Autista, a PEPTEA. Trata-se de norma robusta, que assegura, em seu art. 4º, inciso II, a proteção contra qualquer forma de abuso e exploração, e atribui ao poder público, no art. 3º, inciso V, a responsabilidade pela informação pública relativa ao transtorno e suas implicações.</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lastRenderedPageBreak/>
        <w:t>A presente proposição não cria direito novo. Ela cria o instrumento que falta para que os direitos já assegurados na PEPTEA deixem de depender exclusivamente da iniciativa individual da família para serem exigidos.</w:t>
      </w:r>
    </w:p>
    <w:p w:rsidR="00B2676F" w:rsidRPr="00B2676F" w:rsidRDefault="00B2676F" w:rsidP="00B2676F">
      <w:pPr>
        <w:spacing w:before="320" w:line="240" w:lineRule="auto"/>
        <w:rPr>
          <w:rFonts w:ascii="Times New Roman" w:hAnsi="Times New Roman" w:cs="Times New Roman"/>
          <w:sz w:val="24"/>
          <w:szCs w:val="24"/>
        </w:rPr>
      </w:pPr>
      <w:r w:rsidRPr="00B2676F">
        <w:rPr>
          <w:rFonts w:ascii="Times New Roman" w:hAnsi="Times New Roman" w:cs="Times New Roman"/>
          <w:b/>
          <w:bCs/>
          <w:sz w:val="24"/>
          <w:szCs w:val="24"/>
        </w:rPr>
        <w:t>Direito sem canal de acesso é direito de eficácia reduzida</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O ordenamento estadual assegura à pessoa com TEA o acesso à educação, à saúde, ao transporte intermunicipal gratuito e à proteção contra abuso. O art. 6º da PEPTEA chega a cominar multa de três a vinte salários-mínimos ao gestor escolar que recusar matrícula. Ocorre que a lei não indica onde a família deve reportar a recusa, o atendimento negado ou o tratamento discriminatório. Na prática, o cidadão precisa descobrir sozinho o órgão competente, o que produz subnotificação e esvazia a própria sanção prevista em lei.</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A criação de um ponto único de entrada corrige essa lacuna. O canal recebe, qualifica e encaminha a demanda ao órgão competente, seja o Ministério Público, a autoridade policial, o Conselho Tutelar ou a pasta setorial responsável. Simultaneamente, cumpre a função de orientação prevista no art. 3º, inciso V, informando famílias que frequentemente desconhecem os direitos que a legislação já lhes garante.</w:t>
      </w:r>
    </w:p>
    <w:p w:rsidR="00B2676F" w:rsidRPr="00B2676F" w:rsidRDefault="00B2676F" w:rsidP="00B2676F">
      <w:pPr>
        <w:spacing w:before="320" w:line="240" w:lineRule="auto"/>
        <w:rPr>
          <w:rFonts w:ascii="Times New Roman" w:hAnsi="Times New Roman" w:cs="Times New Roman"/>
          <w:sz w:val="24"/>
          <w:szCs w:val="24"/>
        </w:rPr>
      </w:pPr>
      <w:r w:rsidRPr="00B2676F">
        <w:rPr>
          <w:rFonts w:ascii="Times New Roman" w:hAnsi="Times New Roman" w:cs="Times New Roman"/>
          <w:b/>
          <w:bCs/>
          <w:sz w:val="24"/>
          <w:szCs w:val="24"/>
        </w:rPr>
        <w:t>Uma proposta desenhada para ser exequível</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O projeto foi construído para não gerar ônus estrutural. O §1º do art. 4º-A autoriza expressamente a implementação por integração a canais de atendimento e ouvidoria já existentes na Administração Pública estadual, dispensando a criação de estrutura própria. O prazo de implantação, o órgão gestor e os fluxos operacionais são remetidos ao regulamento, preservando integralmente o juízo de conveniência e oportunidade do Poder Executivo quanto ao modo de execução.</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Assegura-se, ainda, o sigilo dos dados do denunciante e a possibilidade de denúncia anônima, condição essencial em situações de violência praticada no ambiente doméstico ou institucional, em que a exposição do comunicante é o principal fator de silenciamento.</w:t>
      </w:r>
    </w:p>
    <w:p w:rsidR="00B2676F" w:rsidRPr="00B2676F" w:rsidRDefault="00B2676F" w:rsidP="00B2676F">
      <w:pPr>
        <w:spacing w:before="320" w:line="240" w:lineRule="auto"/>
        <w:rPr>
          <w:rFonts w:ascii="Times New Roman" w:hAnsi="Times New Roman" w:cs="Times New Roman"/>
          <w:sz w:val="24"/>
          <w:szCs w:val="24"/>
        </w:rPr>
      </w:pPr>
      <w:r w:rsidRPr="00B2676F">
        <w:rPr>
          <w:rFonts w:ascii="Times New Roman" w:hAnsi="Times New Roman" w:cs="Times New Roman"/>
          <w:b/>
          <w:bCs/>
          <w:sz w:val="24"/>
          <w:szCs w:val="24"/>
        </w:rPr>
        <w:t>Sintonia com o movimento legislativo nacional</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A criação de canais estaduais dedicados ao público com TEA é tendência consolidada no legislativo brasileiro. Proposições com objeto equivalente tramitam em outras unidades da Federação, entre elas a Assembleia Legislativa do Amazonas e a Assembleia Legislativa do Estado do Rio de Janeiro, esta última tendo aprovado, em segunda discussão, o Projeto de Lei nº 754/2023, que cria o Disque Autismo fluminense. O Tocantins, que se antecipou a diversos estados ao aprovar sua política estadual já em janeiro de 2023, tem condições de dar o passo seguinte e dotar essa política do instrumento de efetividade que hoje lhe falta.</w:t>
      </w:r>
    </w:p>
    <w:p w:rsidR="00B2676F" w:rsidRPr="00B2676F" w:rsidRDefault="00B2676F" w:rsidP="00B2676F">
      <w:pPr>
        <w:spacing w:before="320" w:line="240" w:lineRule="auto"/>
        <w:rPr>
          <w:rFonts w:ascii="Times New Roman" w:hAnsi="Times New Roman" w:cs="Times New Roman"/>
          <w:sz w:val="24"/>
          <w:szCs w:val="24"/>
        </w:rPr>
      </w:pPr>
      <w:r w:rsidRPr="00B2676F">
        <w:rPr>
          <w:rFonts w:ascii="Times New Roman" w:hAnsi="Times New Roman" w:cs="Times New Roman"/>
          <w:b/>
          <w:bCs/>
          <w:sz w:val="24"/>
          <w:szCs w:val="24"/>
        </w:rPr>
        <w:lastRenderedPageBreak/>
        <w:t>A evolução natural da PEPTEA</w:t>
      </w:r>
    </w:p>
    <w:p w:rsidR="00B2676F" w:rsidRPr="00B2676F" w:rsidRDefault="00B2676F" w:rsidP="00B2676F">
      <w:pPr>
        <w:spacing w:after="2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A Lei nº 4.106, de 2023, vem sendo sucessivamente aperfeiçoada por esta Casa. A Lei nº 4.258, de 23 de novembro de 2023, incluiu a gratuidade no transporte intermunicipal e a sinalização com a fita quebra-cabeça. A Lei nº 4.960, de 1º de abril de 2026, assegurou a identificação de quartos e enfermarias e o suporte aos acompanhantes durante internação. A presente proposta segue essa mesma linha evolutiva, agora no eixo do acesso e da exigibilidade.</w:t>
      </w:r>
    </w:p>
    <w:p w:rsidR="00B2676F" w:rsidRPr="00B2676F" w:rsidRDefault="00B2676F" w:rsidP="00B2676F">
      <w:pPr>
        <w:spacing w:after="500" w:line="240" w:lineRule="auto"/>
        <w:ind w:firstLine="709"/>
        <w:jc w:val="both"/>
        <w:rPr>
          <w:rFonts w:ascii="Times New Roman" w:hAnsi="Times New Roman" w:cs="Times New Roman"/>
          <w:sz w:val="24"/>
          <w:szCs w:val="24"/>
        </w:rPr>
      </w:pPr>
      <w:r w:rsidRPr="00B2676F">
        <w:rPr>
          <w:rFonts w:ascii="Times New Roman" w:hAnsi="Times New Roman" w:cs="Times New Roman"/>
          <w:sz w:val="24"/>
          <w:szCs w:val="24"/>
        </w:rPr>
        <w:t>Por essas razões, submeto a proposição à apreciação dos nobres Pares, na certeza de contar com o apoio necessário à sua aprovação.</w:t>
      </w:r>
    </w:p>
    <w:p w:rsidR="00B2676F" w:rsidRDefault="00B2676F" w:rsidP="00B2676F">
      <w:pPr>
        <w:spacing w:line="240" w:lineRule="auto"/>
        <w:rPr>
          <w:rFonts w:ascii="Times New Roman" w:hAnsi="Times New Roman" w:cs="Times New Roman"/>
          <w:sz w:val="24"/>
          <w:szCs w:val="24"/>
        </w:rPr>
      </w:pPr>
    </w:p>
    <w:p w:rsidR="00B2676F" w:rsidRPr="00547048" w:rsidRDefault="00B2676F" w:rsidP="00B2676F">
      <w:pPr>
        <w:spacing w:line="240" w:lineRule="auto"/>
        <w:rPr>
          <w:rFonts w:ascii="Times New Roman" w:hAnsi="Times New Roman" w:cs="Times New Roman"/>
          <w:sz w:val="24"/>
          <w:szCs w:val="24"/>
        </w:rPr>
      </w:pPr>
    </w:p>
    <w:p w:rsidR="00B2676F" w:rsidRPr="00547048" w:rsidRDefault="00B2676F" w:rsidP="00B2676F">
      <w:pPr>
        <w:rPr>
          <w:rFonts w:ascii="Times New Roman" w:hAnsi="Times New Roman" w:cs="Times New Roman"/>
          <w:sz w:val="24"/>
          <w:szCs w:val="24"/>
        </w:rPr>
      </w:pPr>
      <w:r w:rsidRPr="00547048">
        <w:rPr>
          <w:rFonts w:ascii="Times New Roman" w:hAnsi="Times New Roman" w:cs="Times New Roman"/>
          <w:sz w:val="24"/>
          <w:szCs w:val="24"/>
        </w:rPr>
        <w:t>Sala das Sessões, 19 de agosto de 2026.</w:t>
      </w:r>
    </w:p>
    <w:p w:rsidR="00B2676F" w:rsidRDefault="00B2676F" w:rsidP="00B2676F">
      <w:pPr>
        <w:spacing w:after="0" w:line="240" w:lineRule="auto"/>
        <w:rPr>
          <w:rFonts w:ascii="Times New Roman" w:eastAsia="Times New Roman" w:hAnsi="Times New Roman" w:cs="Times New Roman"/>
          <w:noProof/>
          <w:sz w:val="28"/>
          <w:szCs w:val="28"/>
          <w:lang w:eastAsia="pt-BR"/>
        </w:rPr>
      </w:pPr>
    </w:p>
    <w:p w:rsidR="00B2676F" w:rsidRDefault="00B2676F" w:rsidP="00B2676F">
      <w:pPr>
        <w:spacing w:after="0" w:line="240" w:lineRule="auto"/>
        <w:rPr>
          <w:rFonts w:ascii="Times New Roman" w:eastAsia="Times New Roman" w:hAnsi="Times New Roman" w:cs="Times New Roman"/>
          <w:noProof/>
          <w:sz w:val="28"/>
          <w:szCs w:val="28"/>
          <w:lang w:eastAsia="pt-BR"/>
        </w:rPr>
      </w:pPr>
    </w:p>
    <w:p w:rsidR="00B2676F" w:rsidRDefault="00B2676F" w:rsidP="00B2676F">
      <w:pPr>
        <w:spacing w:after="0" w:line="240" w:lineRule="auto"/>
        <w:rPr>
          <w:rFonts w:ascii="Times New Roman" w:eastAsia="Times New Roman" w:hAnsi="Times New Roman" w:cs="Times New Roman"/>
          <w:noProof/>
          <w:sz w:val="28"/>
          <w:szCs w:val="28"/>
          <w:lang w:eastAsia="pt-BR"/>
        </w:rPr>
      </w:pPr>
    </w:p>
    <w:p w:rsidR="00B2676F" w:rsidRPr="002C5ABF" w:rsidRDefault="00B2676F" w:rsidP="00B2676F">
      <w:pPr>
        <w:spacing w:after="0" w:line="240" w:lineRule="auto"/>
        <w:rPr>
          <w:rFonts w:ascii="Times New Roman" w:eastAsia="Times New Roman" w:hAnsi="Times New Roman" w:cs="Times New Roman"/>
          <w:noProof/>
          <w:sz w:val="28"/>
          <w:szCs w:val="28"/>
          <w:lang w:eastAsia="pt-BR"/>
        </w:rPr>
      </w:pPr>
    </w:p>
    <w:p w:rsidR="00B2676F" w:rsidRPr="002C5ABF" w:rsidRDefault="00B2676F" w:rsidP="00B2676F">
      <w:pPr>
        <w:spacing w:after="0" w:line="240" w:lineRule="auto"/>
        <w:jc w:val="center"/>
        <w:rPr>
          <w:rFonts w:ascii="Times New Roman" w:eastAsia="Times New Roman" w:hAnsi="Times New Roman" w:cs="Times New Roman"/>
          <w:b/>
          <w:lang w:eastAsia="pt-BR"/>
        </w:rPr>
      </w:pPr>
    </w:p>
    <w:p w:rsidR="00B2676F" w:rsidRPr="002C5ABF" w:rsidRDefault="00B2676F" w:rsidP="00B2676F">
      <w:pPr>
        <w:spacing w:after="0" w:line="240" w:lineRule="auto"/>
        <w:jc w:val="center"/>
        <w:rPr>
          <w:rFonts w:ascii="Times New Roman" w:eastAsia="Times New Roman" w:hAnsi="Times New Roman" w:cs="Times New Roman"/>
          <w:b/>
          <w:lang w:eastAsia="pt-BR"/>
        </w:rPr>
      </w:pPr>
      <w:r w:rsidRPr="002C5ABF">
        <w:rPr>
          <w:rFonts w:ascii="Times New Roman" w:eastAsia="Times New Roman" w:hAnsi="Times New Roman" w:cs="Times New Roman"/>
          <w:b/>
          <w:lang w:eastAsia="pt-BR"/>
        </w:rPr>
        <w:t>JORGE FREDERICO</w:t>
      </w:r>
    </w:p>
    <w:p w:rsidR="00B2676F" w:rsidRPr="002C5ABF" w:rsidRDefault="00B2676F" w:rsidP="00B2676F">
      <w:pPr>
        <w:spacing w:after="0" w:line="240" w:lineRule="auto"/>
        <w:jc w:val="center"/>
        <w:rPr>
          <w:rFonts w:ascii="Times New Roman" w:eastAsia="Times New Roman" w:hAnsi="Times New Roman" w:cs="Times New Roman"/>
          <w:lang w:eastAsia="pt-BR"/>
        </w:rPr>
      </w:pPr>
      <w:r w:rsidRPr="002C5ABF">
        <w:rPr>
          <w:rFonts w:ascii="Times New Roman" w:eastAsia="Times New Roman" w:hAnsi="Times New Roman" w:cs="Times New Roman"/>
          <w:lang w:eastAsia="pt-BR"/>
        </w:rPr>
        <w:t>Deputado Estadual</w:t>
      </w:r>
    </w:p>
    <w:p w:rsidR="00B2676F" w:rsidRDefault="00B2676F" w:rsidP="00B2676F"/>
    <w:p w:rsidR="00AD69EB" w:rsidRDefault="00AD69EB"/>
    <w:sectPr w:rsidR="00AD69EB" w:rsidSect="00AD69EB">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EE6" w:rsidRDefault="00DC2EE6" w:rsidP="00B2676F">
      <w:pPr>
        <w:spacing w:after="0" w:line="240" w:lineRule="auto"/>
      </w:pPr>
      <w:r>
        <w:separator/>
      </w:r>
    </w:p>
  </w:endnote>
  <w:endnote w:type="continuationSeparator" w:id="1">
    <w:p w:rsidR="00DC2EE6" w:rsidRDefault="00DC2EE6" w:rsidP="00B26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EE6" w:rsidRDefault="00DC2EE6" w:rsidP="00B2676F">
      <w:pPr>
        <w:spacing w:after="0" w:line="240" w:lineRule="auto"/>
      </w:pPr>
      <w:r>
        <w:separator/>
      </w:r>
    </w:p>
  </w:footnote>
  <w:footnote w:type="continuationSeparator" w:id="1">
    <w:p w:rsidR="00DC2EE6" w:rsidRDefault="00DC2EE6" w:rsidP="00B26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6F" w:rsidRPr="00375362" w:rsidRDefault="00B2676F" w:rsidP="00B2676F">
    <w:pPr>
      <w:pStyle w:val="Cabealho"/>
      <w:tabs>
        <w:tab w:val="left" w:pos="6440"/>
      </w:tabs>
      <w:jc w:val="center"/>
    </w:pPr>
    <w:r w:rsidRPr="00375362">
      <w:rPr>
        <w:noProof/>
        <w:lang w:eastAsia="pt-BR"/>
      </w:rPr>
      <w:drawing>
        <wp:inline distT="0" distB="0" distL="0" distR="0">
          <wp:extent cx="897711" cy="1009402"/>
          <wp:effectExtent l="0" t="0" r="0" b="0"/>
          <wp:docPr id="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 cstate="print">
                    <a:clrChange>
                      <a:clrFrom>
                        <a:srgbClr val="FFFFFF"/>
                      </a:clrFrom>
                      <a:clrTo>
                        <a:srgbClr val="FFFFFF">
                          <a:alpha val="0"/>
                        </a:srgbClr>
                      </a:clrTo>
                    </a:clrChange>
                  </a:blip>
                  <a:srcRect l="44576" t="21349" r="44069" b="19101"/>
                  <a:stretch>
                    <a:fillRect/>
                  </a:stretch>
                </pic:blipFill>
                <pic:spPr bwMode="auto">
                  <a:xfrm>
                    <a:off x="0" y="0"/>
                    <a:ext cx="901849" cy="1014055"/>
                  </a:xfrm>
                  <a:prstGeom prst="rect">
                    <a:avLst/>
                  </a:prstGeom>
                  <a:noFill/>
                  <a:ln w="9525">
                    <a:noFill/>
                    <a:miter lim="800000"/>
                    <a:headEnd/>
                    <a:tailEnd/>
                  </a:ln>
                </pic:spPr>
              </pic:pic>
            </a:graphicData>
          </a:graphic>
        </wp:inline>
      </w:drawing>
    </w:r>
  </w:p>
  <w:p w:rsidR="00B2676F" w:rsidRDefault="00B2676F" w:rsidP="00B2676F">
    <w:pPr>
      <w:pStyle w:val="Cabealho"/>
      <w:jc w:val="center"/>
      <w:rPr>
        <w:rFonts w:ascii="Arial Black" w:hAnsi="Arial Black"/>
      </w:rPr>
    </w:pPr>
    <w:r w:rsidRPr="00993766">
      <w:rPr>
        <w:rFonts w:ascii="Arial Black" w:hAnsi="Arial Black"/>
      </w:rPr>
      <w:t>Estado do Tocantins</w:t>
    </w:r>
  </w:p>
  <w:p w:rsidR="00B2676F" w:rsidRPr="00B2676F" w:rsidRDefault="00B2676F" w:rsidP="00B2676F">
    <w:pPr>
      <w:pStyle w:val="Cabealho"/>
      <w:jc w:val="center"/>
      <w:rPr>
        <w:rFonts w:ascii="Arial Black" w:hAnsi="Arial Black"/>
      </w:rPr>
    </w:pPr>
    <w:r w:rsidRPr="00993766">
      <w:rPr>
        <w:rFonts w:ascii="Arial Black" w:hAnsi="Arial Black"/>
      </w:rPr>
      <w:t>Poder Legislativo</w:t>
    </w:r>
  </w:p>
  <w:p w:rsidR="00B2676F" w:rsidRDefault="00B2676F">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rsids>
    <w:rsidRoot w:val="00B2676F"/>
    <w:rsid w:val="00AD69EB"/>
    <w:rsid w:val="00B2676F"/>
    <w:rsid w:val="00DC2EE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76F"/>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2676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2676F"/>
  </w:style>
  <w:style w:type="paragraph" w:styleId="Rodap">
    <w:name w:val="footer"/>
    <w:basedOn w:val="Normal"/>
    <w:link w:val="RodapChar"/>
    <w:uiPriority w:val="99"/>
    <w:semiHidden/>
    <w:unhideWhenUsed/>
    <w:rsid w:val="00B2676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B2676F"/>
  </w:style>
  <w:style w:type="paragraph" w:styleId="Textodebalo">
    <w:name w:val="Balloon Text"/>
    <w:basedOn w:val="Normal"/>
    <w:link w:val="TextodebaloChar"/>
    <w:uiPriority w:val="99"/>
    <w:semiHidden/>
    <w:unhideWhenUsed/>
    <w:rsid w:val="00B2676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67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1065</Words>
  <Characters>5757</Characters>
  <Application>Microsoft Office Word</Application>
  <DocSecurity>0</DocSecurity>
  <Lines>47</Lines>
  <Paragraphs>13</Paragraphs>
  <ScaleCrop>false</ScaleCrop>
  <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Andressa Borges Xavier</dc:creator>
  <cp:lastModifiedBy>Andressa Borges Xavier</cp:lastModifiedBy>
  <cp:revision>1</cp:revision>
  <cp:lastPrinted>2026-08-19T12:48:00Z</cp:lastPrinted>
  <dcterms:created xsi:type="dcterms:W3CDTF">2026-08-19T11:36:00Z</dcterms:created>
  <dcterms:modified xsi:type="dcterms:W3CDTF">2026-08-19T12:48:00Z</dcterms:modified>
</cp:coreProperties>
</file>