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9D0" w:rsidRPr="003E241B" w:rsidRDefault="00AF39D0" w:rsidP="00AF39D0">
      <w:pPr>
        <w:rPr>
          <w:rFonts w:ascii="Times New Roman" w:hAnsi="Times New Roman" w:cs="Times New Roman"/>
          <w:b/>
          <w:bCs/>
        </w:rPr>
      </w:pPr>
      <w:r w:rsidRPr="003E241B">
        <w:rPr>
          <w:rFonts w:ascii="Times New Roman" w:hAnsi="Times New Roman" w:cs="Times New Roman"/>
          <w:b/>
          <w:bCs/>
        </w:rPr>
        <w:t xml:space="preserve">PROJETO DE LEI Nº </w:t>
      </w:r>
      <w:r>
        <w:rPr>
          <w:rFonts w:ascii="Times New Roman" w:hAnsi="Times New Roman" w:cs="Times New Roman"/>
          <w:b/>
          <w:bCs/>
        </w:rPr>
        <w:t xml:space="preserve">      </w:t>
      </w:r>
      <w:r w:rsidRPr="003E241B">
        <w:rPr>
          <w:rFonts w:ascii="Times New Roman" w:hAnsi="Times New Roman" w:cs="Times New Roman"/>
          <w:b/>
          <w:bCs/>
        </w:rPr>
        <w:t>/2026</w:t>
      </w:r>
    </w:p>
    <w:p w:rsidR="00AF39D0" w:rsidRPr="00AF39D0" w:rsidRDefault="00AF39D0" w:rsidP="00AF39D0">
      <w:pPr>
        <w:spacing w:after="480" w:line="276" w:lineRule="auto"/>
        <w:ind w:left="3540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39D0">
        <w:rPr>
          <w:rFonts w:ascii="Times New Roman" w:hAnsi="Times New Roman" w:cs="Times New Roman"/>
          <w:i/>
          <w:sz w:val="24"/>
          <w:szCs w:val="24"/>
        </w:rPr>
        <w:t>Assegura às mulheres com densidade mamária elevada o direito à realização de exame de ressonância magnética das mamas, de forma complementar à mamografia, no âmbito do Sistema Único de Saúde no Estado do Tocantins.</w:t>
      </w:r>
    </w:p>
    <w:p w:rsidR="00AF39D0" w:rsidRPr="00AF39D0" w:rsidRDefault="00AF39D0" w:rsidP="00AF3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D0">
        <w:rPr>
          <w:rFonts w:ascii="Times New Roman" w:hAnsi="Times New Roman" w:cs="Times New Roman"/>
          <w:b/>
          <w:sz w:val="24"/>
          <w:szCs w:val="24"/>
        </w:rPr>
        <w:t>A ASSEMBLEIA LEGISLATIVA DO ESTADO DO TOCANTINS decreta:</w:t>
      </w:r>
    </w:p>
    <w:p w:rsidR="00AF39D0" w:rsidRPr="00AF39D0" w:rsidRDefault="00AF39D0" w:rsidP="00AF39D0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AF39D0">
        <w:rPr>
          <w:rFonts w:ascii="Times New Roman" w:hAnsi="Times New Roman" w:cs="Times New Roman"/>
          <w:sz w:val="24"/>
          <w:szCs w:val="24"/>
        </w:rPr>
        <w:t>Fica assegurado às mulheres com densidade mamária elevada o direito à realização de exame de ressonância magnética das mamas, de forma complementar ao exame mamográfico, nas unidades públicas de saúde e nas conveniadas ou contratadas pelo Sistema Único de Saúde no Estado do Tocantins.</w:t>
      </w:r>
    </w:p>
    <w:p w:rsidR="00AF39D0" w:rsidRPr="00AF39D0" w:rsidRDefault="00AF39D0" w:rsidP="00AF39D0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="00362370">
        <w:rPr>
          <w:rFonts w:ascii="Times New Roman" w:hAnsi="Times New Roman" w:cs="Times New Roman"/>
          <w:sz w:val="24"/>
          <w:szCs w:val="24"/>
        </w:rPr>
        <w:t xml:space="preserve">Para os fins desta Lei, </w:t>
      </w:r>
      <w:r w:rsidRPr="00AF39D0">
        <w:rPr>
          <w:rFonts w:ascii="Times New Roman" w:hAnsi="Times New Roman" w:cs="Times New Roman"/>
          <w:sz w:val="24"/>
          <w:szCs w:val="24"/>
        </w:rPr>
        <w:t>considera-se densidade mamária elevada a composição mamária classificada nas categorias C, heterogeneamente densa, e D, extremamente densa, segundo o sistema BI-RADS (Breast Imaging Reportingand Data System) do Colégio Americano de Radiologia, ou classificação equivalente que venha a substituí-lo.</w:t>
      </w:r>
    </w:p>
    <w:p w:rsidR="00AF39D0" w:rsidRPr="00AF39D0" w:rsidRDefault="00AF39D0" w:rsidP="00AF39D0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b/>
          <w:bCs/>
          <w:i/>
          <w:sz w:val="24"/>
          <w:szCs w:val="24"/>
        </w:rPr>
        <w:t>Parágrafo único</w:t>
      </w:r>
      <w:r w:rsidRPr="00AF39D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F39D0">
        <w:rPr>
          <w:rFonts w:ascii="Times New Roman" w:hAnsi="Times New Roman" w:cs="Times New Roman"/>
          <w:sz w:val="24"/>
          <w:szCs w:val="24"/>
        </w:rPr>
        <w:t>O exame de que trata o art. 1º será prioritariamente assegurado às mulheres classificadas na categoria D e às classificadas na categoria C que apresentem fatores adicionais de risco para câncer de mama.</w:t>
      </w:r>
    </w:p>
    <w:p w:rsidR="00AF39D0" w:rsidRDefault="00AF39D0" w:rsidP="00AF39D0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AF39D0">
        <w:rPr>
          <w:rFonts w:ascii="Times New Roman" w:hAnsi="Times New Roman" w:cs="Times New Roman"/>
          <w:sz w:val="24"/>
          <w:szCs w:val="24"/>
        </w:rPr>
        <w:t>A realização do exame previsto nesta Lei dependerá de avaliação e solicitação do médico assistente, observados os protocolos clínicos e as diretrizes terapêuticas vigentes.</w:t>
      </w:r>
    </w:p>
    <w:p w:rsidR="00AF39D0" w:rsidRPr="00AF39D0" w:rsidRDefault="00AF39D0" w:rsidP="00AF39D0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AF39D0">
        <w:rPr>
          <w:rFonts w:ascii="Times New Roman" w:hAnsi="Times New Roman" w:cs="Times New Roman"/>
          <w:sz w:val="24"/>
          <w:szCs w:val="24"/>
        </w:rPr>
        <w:t>O laudo do exame mamográfico realizado no âmbito do Sistema Único de Saúde no Estado do Tocantins informará a categoria de densidade mamária identificada, nos termos do art. 2º desta Lei.</w:t>
      </w:r>
    </w:p>
    <w:p w:rsidR="00AF39D0" w:rsidRPr="00AF39D0" w:rsidRDefault="00AF39D0" w:rsidP="00AF39D0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AF39D0">
        <w:rPr>
          <w:rFonts w:ascii="Times New Roman" w:hAnsi="Times New Roman" w:cs="Times New Roman"/>
          <w:sz w:val="24"/>
          <w:szCs w:val="24"/>
        </w:rPr>
        <w:t>As despesas decorrentes da execução desta Lei correrão à conta das dotações orçamentárias já consignadas às ações de atenção à saúde da mulher e de diagnóstico por imagem, sem criação de despesa obrigatória de caráter continuado nova, ficando autorizada a sua suplementação, se necessário, e observado o disposto nos arts. 16 e 17 da Lei Complementar federal nº 101, de 4 de maio de 2000.</w:t>
      </w:r>
    </w:p>
    <w:p w:rsidR="00AF39D0" w:rsidRPr="00AF39D0" w:rsidRDefault="00AF39D0" w:rsidP="00AF39D0">
      <w:pPr>
        <w:spacing w:after="6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AF39D0">
        <w:rPr>
          <w:rFonts w:ascii="Times New Roman" w:hAnsi="Times New Roman" w:cs="Times New Roman"/>
          <w:sz w:val="24"/>
          <w:szCs w:val="24"/>
        </w:rPr>
        <w:t>Esta Lei entra em vigor após decorridos 90 (noventa) dias de sua publicação oficial.</w:t>
      </w:r>
    </w:p>
    <w:p w:rsidR="00AF39D0" w:rsidRPr="00AF39D0" w:rsidRDefault="00AF39D0" w:rsidP="00AF3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9D0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lastRenderedPageBreak/>
        <w:t>O câncer de mama é a neoplasia maligna mais incidente entre as mulheres brasileiras. O Instituto Nacional de Câncer estima 73.610 casos novos por ano no triênio 2023-2025, com taxa ajustada de incidência de 41,89 casos por 100 mil mulheres (INCA, Estimativa 2023: incidência de câncer no Brasil).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No Tocantins, o quadro é de agravamento. Segundo dados da Secretaria de Estado da Saúde, extraídos do Sistema de Informação sobre Mortalidade, o Estado registrou 76 óbitos por câncer de mama em 2024. Em 2025, até 26 de setembro, esse número já havia alcançado 83 mortes, superando o total do ano anterior antes mesmo do encerramento do terceiro trimestre. A trajetória contrasta com a do câncer do colo do útero, que passou de 77 óbitos em 2024 para 48 no mesmo recorte de 2025, o que indica ser o câncer de mama, hoje, o problema oncológico feminino de evolução mais preocupante no Estado.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Esse aumento da mortalidade convive com um número modesto de diagnósticos notificados, 128 casos de câncer de mama em 2024 segundo a mesma fonte, o que sugere detecção tardia e cobertura diagnóstica insuficiente. Mortalidade em alta e diagnóstico em baixa é o retrato clássico de uma rede de rastreamento que não está encontrando a doença em tempo útil.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A mamografia permanece o exame padrão de rastreamento, hoje assegurado a todas as mulheres a partir dos 40 anos de idade por força do art. 2º, § 2º-A, da Lei federal nº 11.664, de 29 de abril de 2008, com a redação dada pela Lei federal nº 15.284, de 18 de dezembro de 2025. Ocorre que sua sensibilidade cai de forma expressiva na presença de tecido fibroglandular abundante: o tecido denso e a lesão tumoral apresentam atenuação radiológica semelhante, produzindo o chamado efeito de mascaramento. A densidade mamária elevada é, portanto, ao mesmo tempo, fator que reduz a acurácia do rastreamento e fator independente de risco para a doença.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A literatura científica sustenta o rastreamento suplementar por ressonância magnética nesse grupo. O ensaio clínico randomizado DENSE, publicado no New EnglandJournalof Medicine em 2019 (Bakker et al., v. 381, p. 2091-2102), demonstrou redução significativa da taxa de cânceres de intervalo em mulheres com mamas extremamente densas submetidas à ressonância magnética suplementar após mamografia negativa.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Por essa razão, o presente projeto avança sobre o modelo já adotado por outras unidades da federação. A Lei nº 11.155, de 10 de abril de 2026, do Estado do Rio de Janeiro, restringiu a garantia à categoria C do sistema BI-RADS, deixando de fora justamente a categoria D, extremamente densa, que concentra a evidência científica mais robusta de benefício. A presente proposição corrige essa lacuna ao abranger as categorias C e D, com priorização clínica racional, alinhando a norma estadual ao estado da arte da mastologia.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lastRenderedPageBreak/>
        <w:t>O art. 4º garante a efetividade do direito. Sem a informação da categoria de densidade no laudo mamográfico, a paciente não tem como saber que integra o grupo beneficiado, e a garantia se torna letra morta.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A matéria insere-se na competência concorrente dos Estados para legislar sobre proteção e defesa da saúde, nos termos do art. 24, XII, da Constituição Federal, e na competência comum prevista no art. 23, II, tratando-se de norma que amplia o acesso a serviço já integrante da Tabela de Procedimentos do Sistema Único de Saúde.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Quanto à iniciativa parlamentar, a proposição não dispõe sobre a estrutura da Administração Pública, sobre a atribuição de seus órgãos, nem sobre o regime jurídico de servidores públicos, razão pela qual não incide a reserva do art. 27, § 1º, da Constituição do Estado do Tocantins, conforme a orientação consolidada na Súmula Vinculante 917 do Supremo Tribunal Federal, oriunda do ARE 878.911/RJ, Tema 917 da repercussão geral.</w:t>
      </w:r>
    </w:p>
    <w:p w:rsid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No plano fiscal, o art. 5º observa os arts. 16 e 17 da Lei de Responsabilidade Fiscal e a orientação firmada pelo Supremo Tribunal Federal na ADI 7.633, julgada em 30 de abril de 2026, ao vincular a execução às dotações já existentes nas ações de atenção à saúde da mulher e de diagnóstico por imagem, sem criação de despesa obrigatória de caráter continuado nova.</w:t>
      </w:r>
    </w:p>
    <w:p w:rsidR="00AF39D0" w:rsidRPr="00AF39D0" w:rsidRDefault="00AF39D0" w:rsidP="00AF39D0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39D0">
        <w:rPr>
          <w:rFonts w:ascii="Times New Roman" w:hAnsi="Times New Roman" w:cs="Times New Roman"/>
          <w:sz w:val="24"/>
          <w:szCs w:val="24"/>
        </w:rPr>
        <w:t>Diante da relevância da matéria para a saúde das mulheres tocantinenses, conto com o apoio dos nobres Pares para a aprovação deste projeto.</w:t>
      </w:r>
    </w:p>
    <w:p w:rsidR="00AF39D0" w:rsidRPr="00547048" w:rsidRDefault="00AF39D0" w:rsidP="00AF39D0">
      <w:pPr>
        <w:rPr>
          <w:rFonts w:ascii="Times New Roman" w:hAnsi="Times New Roman" w:cs="Times New Roman"/>
          <w:sz w:val="24"/>
          <w:szCs w:val="24"/>
        </w:rPr>
      </w:pPr>
    </w:p>
    <w:p w:rsidR="00AF39D0" w:rsidRPr="00547048" w:rsidRDefault="00AF39D0" w:rsidP="00AF39D0">
      <w:pPr>
        <w:rPr>
          <w:rFonts w:ascii="Times New Roman" w:hAnsi="Times New Roman" w:cs="Times New Roman"/>
          <w:sz w:val="24"/>
          <w:szCs w:val="24"/>
        </w:rPr>
      </w:pPr>
      <w:r w:rsidRPr="00547048">
        <w:rPr>
          <w:rFonts w:ascii="Times New Roman" w:hAnsi="Times New Roman" w:cs="Times New Roman"/>
          <w:sz w:val="24"/>
          <w:szCs w:val="24"/>
        </w:rPr>
        <w:t>Sala das Sessões, 19 de agosto de 2026.</w:t>
      </w:r>
    </w:p>
    <w:p w:rsidR="00AF39D0" w:rsidRDefault="00AF39D0" w:rsidP="00AF39D0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pt-BR"/>
        </w:rPr>
      </w:pPr>
    </w:p>
    <w:p w:rsidR="00AF39D0" w:rsidRDefault="00AF39D0" w:rsidP="00AF39D0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pt-BR"/>
        </w:rPr>
      </w:pPr>
    </w:p>
    <w:p w:rsidR="00AF39D0" w:rsidRPr="002C5ABF" w:rsidRDefault="00AF39D0" w:rsidP="00AF39D0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pt-BR"/>
        </w:rPr>
      </w:pPr>
    </w:p>
    <w:p w:rsidR="00AF39D0" w:rsidRPr="002C5ABF" w:rsidRDefault="00AF39D0" w:rsidP="00AF3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:rsidR="00AF39D0" w:rsidRPr="002C5ABF" w:rsidRDefault="00AF39D0" w:rsidP="00AF39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2C5ABF">
        <w:rPr>
          <w:rFonts w:ascii="Times New Roman" w:eastAsia="Times New Roman" w:hAnsi="Times New Roman" w:cs="Times New Roman"/>
          <w:b/>
          <w:lang w:eastAsia="pt-BR"/>
        </w:rPr>
        <w:t>JORGE FREDERICO</w:t>
      </w:r>
    </w:p>
    <w:p w:rsidR="00AF39D0" w:rsidRPr="002C5ABF" w:rsidRDefault="00AF39D0" w:rsidP="00AF39D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2C5ABF">
        <w:rPr>
          <w:rFonts w:ascii="Times New Roman" w:eastAsia="Times New Roman" w:hAnsi="Times New Roman" w:cs="Times New Roman"/>
          <w:lang w:eastAsia="pt-BR"/>
        </w:rPr>
        <w:t>Deputado Estadual</w:t>
      </w:r>
    </w:p>
    <w:p w:rsidR="00AD69EB" w:rsidRDefault="00AD69EB"/>
    <w:sectPr w:rsidR="00AD69EB" w:rsidSect="00AD69E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C8C" w:rsidRDefault="00AB6C8C" w:rsidP="00AF39D0">
      <w:pPr>
        <w:spacing w:after="0" w:line="240" w:lineRule="auto"/>
      </w:pPr>
      <w:r>
        <w:separator/>
      </w:r>
    </w:p>
  </w:endnote>
  <w:endnote w:type="continuationSeparator" w:id="1">
    <w:p w:rsidR="00AB6C8C" w:rsidRDefault="00AB6C8C" w:rsidP="00AF3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C8C" w:rsidRDefault="00AB6C8C" w:rsidP="00AF39D0">
      <w:pPr>
        <w:spacing w:after="0" w:line="240" w:lineRule="auto"/>
      </w:pPr>
      <w:r>
        <w:separator/>
      </w:r>
    </w:p>
  </w:footnote>
  <w:footnote w:type="continuationSeparator" w:id="1">
    <w:p w:rsidR="00AB6C8C" w:rsidRDefault="00AB6C8C" w:rsidP="00AF3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D0" w:rsidRPr="00375362" w:rsidRDefault="00AF39D0" w:rsidP="00AF39D0">
    <w:pPr>
      <w:pStyle w:val="Cabealho"/>
      <w:tabs>
        <w:tab w:val="left" w:pos="6440"/>
      </w:tabs>
      <w:jc w:val="center"/>
    </w:pPr>
    <w:r w:rsidRPr="00375362">
      <w:rPr>
        <w:noProof/>
        <w:lang w:eastAsia="pt-BR"/>
      </w:rPr>
      <w:drawing>
        <wp:inline distT="0" distB="0" distL="0" distR="0">
          <wp:extent cx="897711" cy="1009402"/>
          <wp:effectExtent l="0" t="0" r="0" b="0"/>
          <wp:docPr id="2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 l="44576" t="21349" r="44069" b="19101"/>
                  <a:stretch>
                    <a:fillRect/>
                  </a:stretch>
                </pic:blipFill>
                <pic:spPr bwMode="auto">
                  <a:xfrm>
                    <a:off x="0" y="0"/>
                    <a:ext cx="901849" cy="10140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39D0" w:rsidRDefault="00AF39D0" w:rsidP="00AF39D0">
    <w:pPr>
      <w:pStyle w:val="Cabealho"/>
      <w:jc w:val="center"/>
      <w:rPr>
        <w:rFonts w:ascii="Arial Black" w:hAnsi="Arial Black"/>
      </w:rPr>
    </w:pPr>
    <w:r w:rsidRPr="00993766">
      <w:rPr>
        <w:rFonts w:ascii="Arial Black" w:hAnsi="Arial Black"/>
      </w:rPr>
      <w:t>Estado do Tocantins</w:t>
    </w:r>
  </w:p>
  <w:p w:rsidR="00AF39D0" w:rsidRPr="00AF39D0" w:rsidRDefault="00AF39D0" w:rsidP="00AF39D0">
    <w:pPr>
      <w:pStyle w:val="Cabealho"/>
      <w:jc w:val="center"/>
      <w:rPr>
        <w:rFonts w:ascii="Arial Black" w:hAnsi="Arial Black"/>
      </w:rPr>
    </w:pPr>
    <w:r w:rsidRPr="00993766">
      <w:rPr>
        <w:rFonts w:ascii="Arial Black" w:hAnsi="Arial Black"/>
      </w:rPr>
      <w:t>Poder Legislativo</w:t>
    </w:r>
  </w:p>
  <w:p w:rsidR="00AF39D0" w:rsidRDefault="00AF39D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39D0"/>
    <w:rsid w:val="00362370"/>
    <w:rsid w:val="00547048"/>
    <w:rsid w:val="00AB6C8C"/>
    <w:rsid w:val="00AD69EB"/>
    <w:rsid w:val="00AF3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9D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F39D0"/>
  </w:style>
  <w:style w:type="paragraph" w:styleId="Rodap">
    <w:name w:val="footer"/>
    <w:basedOn w:val="Normal"/>
    <w:link w:val="RodapChar"/>
    <w:uiPriority w:val="99"/>
    <w:semiHidden/>
    <w:unhideWhenUsed/>
    <w:rsid w:val="00AF39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F39D0"/>
  </w:style>
  <w:style w:type="paragraph" w:styleId="Textodebalo">
    <w:name w:val="Balloon Text"/>
    <w:basedOn w:val="Normal"/>
    <w:link w:val="TextodebaloChar"/>
    <w:uiPriority w:val="99"/>
    <w:semiHidden/>
    <w:unhideWhenUsed/>
    <w:rsid w:val="00AF3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39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998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Andressa Borges Xavier</dc:creator>
  <cp:lastModifiedBy>Andressa Borges Xavier</cp:lastModifiedBy>
  <cp:revision>1</cp:revision>
  <cp:lastPrinted>2026-08-19T12:02:00Z</cp:lastPrinted>
  <dcterms:created xsi:type="dcterms:W3CDTF">2026-08-19T11:26:00Z</dcterms:created>
  <dcterms:modified xsi:type="dcterms:W3CDTF">2026-08-19T12:03:00Z</dcterms:modified>
</cp:coreProperties>
</file>